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429503981"/>
        <w:docPartObj>
          <w:docPartGallery w:val="Cover Pages"/>
          <w:docPartUnique/>
        </w:docPartObj>
      </w:sdtPr>
      <w:sdtContent>
        <w:p w14:paraId="6FAA907E" w14:textId="3C6636A3" w:rsidR="00C310A4" w:rsidRDefault="000507C3">
          <w:pPr>
            <w:rPr>
              <w:rFonts w:hint="eastAsia"/>
            </w:rPr>
          </w:pPr>
          <w:r>
            <w:rPr>
              <w:noProof/>
            </w:rPr>
            <w:drawing>
              <wp:anchor distT="0" distB="0" distL="114300" distR="114300" simplePos="0" relativeHeight="251658244" behindDoc="1" locked="0" layoutInCell="1" allowOverlap="1" wp14:anchorId="7C5263B1" wp14:editId="69A2A096">
                <wp:simplePos x="0" y="0"/>
                <wp:positionH relativeFrom="column">
                  <wp:posOffset>-1087755</wp:posOffset>
                </wp:positionH>
                <wp:positionV relativeFrom="paragraph">
                  <wp:posOffset>-972397</wp:posOffset>
                </wp:positionV>
                <wp:extent cx="8170678" cy="5681345"/>
                <wp:effectExtent l="0" t="0" r="1905" b="0"/>
                <wp:wrapNone/>
                <wp:docPr id="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5"/>
                        <pic:cNvPicPr>
                          <a:picLocks noChangeAspect="1" noChangeArrowheads="1"/>
                        </pic:cNvPicPr>
                      </pic:nvPicPr>
                      <pic:blipFill>
                        <a:blip r:embed="rId14" cstate="print">
                          <a:alphaModFix/>
                          <a:extLst>
                            <a:ext uri="{28A0092B-C50C-407E-A947-70E740481C1C}">
                              <a14:useLocalDpi xmlns:a14="http://schemas.microsoft.com/office/drawing/2010/main" val="0"/>
                            </a:ext>
                          </a:extLst>
                        </a:blip>
                        <a:stretch>
                          <a:fillRect/>
                        </a:stretch>
                      </pic:blipFill>
                      <pic:spPr bwMode="auto">
                        <a:xfrm>
                          <a:off x="0" y="0"/>
                          <a:ext cx="8170678" cy="5681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97A4C3" w14:textId="1F99850A" w:rsidR="00C310A4" w:rsidRDefault="00B511CA">
          <w:pPr>
            <w:spacing w:line="259" w:lineRule="auto"/>
            <w:rPr>
              <w:rFonts w:asciiTheme="majorHAnsi" w:eastAsiaTheme="majorEastAsia" w:hAnsiTheme="majorHAnsi" w:cstheme="majorBidi" w:hint="eastAsia"/>
              <w:color w:val="332F2E" w:themeColor="accent4"/>
              <w:spacing w:val="-10"/>
              <w:kern w:val="28"/>
              <w:sz w:val="52"/>
              <w:szCs w:val="56"/>
            </w:rPr>
          </w:pPr>
          <w:r>
            <w:rPr>
              <w:noProof/>
            </w:rPr>
            <mc:AlternateContent>
              <mc:Choice Requires="wps">
                <w:drawing>
                  <wp:anchor distT="0" distB="0" distL="114300" distR="114300" simplePos="0" relativeHeight="251658242" behindDoc="0" locked="0" layoutInCell="1" allowOverlap="1" wp14:anchorId="485F7110" wp14:editId="0F3CDC89">
                    <wp:simplePos x="0" y="0"/>
                    <wp:positionH relativeFrom="page">
                      <wp:posOffset>469265</wp:posOffset>
                    </wp:positionH>
                    <wp:positionV relativeFrom="page">
                      <wp:posOffset>7289800</wp:posOffset>
                    </wp:positionV>
                    <wp:extent cx="6071235" cy="2475230"/>
                    <wp:effectExtent l="0" t="0" r="0" b="0"/>
                    <wp:wrapSquare wrapText="bothSides"/>
                    <wp:docPr id="470" name="Text Box 265"/>
                    <wp:cNvGraphicFramePr/>
                    <a:graphic xmlns:a="http://schemas.openxmlformats.org/drawingml/2006/main">
                      <a:graphicData uri="http://schemas.microsoft.com/office/word/2010/wordprocessingShape">
                        <wps:wsp>
                          <wps:cNvSpPr txBox="1"/>
                          <wps:spPr>
                            <a:xfrm>
                              <a:off x="0" y="0"/>
                              <a:ext cx="6071235" cy="2475230"/>
                            </a:xfrm>
                            <a:prstGeom prst="rect">
                              <a:avLst/>
                            </a:prstGeom>
                            <a:noFill/>
                            <a:ln w="6350">
                              <a:noFill/>
                            </a:ln>
                            <a:effectLst/>
                          </wps:spPr>
                          <wps:txbx>
                            <w:txbxContent>
                              <w:sdt>
                                <w:sdtPr>
                                  <w:rPr>
                                    <w:rFonts w:asciiTheme="majorHAnsi" w:eastAsiaTheme="majorEastAsia" w:hAnsiTheme="majorHAnsi" w:cstheme="majorBidi"/>
                                    <w:noProof/>
                                    <w:color w:val="6FAD45" w:themeColor="accent1"/>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7B5075F8" w14:textId="15A1B473" w:rsidR="00C310A4" w:rsidRDefault="006D025A" w:rsidP="00162924">
                                    <w:pPr>
                                      <w:spacing w:line="240" w:lineRule="auto"/>
                                      <w:rPr>
                                        <w:rFonts w:asciiTheme="majorHAnsi" w:eastAsiaTheme="majorEastAsia" w:hAnsiTheme="majorHAnsi" w:cstheme="majorBidi" w:hint="eastAsia"/>
                                        <w:noProof/>
                                        <w:color w:val="000000" w:themeColor="text2"/>
                                        <w:sz w:val="32"/>
                                        <w:szCs w:val="40"/>
                                      </w:rPr>
                                    </w:pPr>
                                    <w:r>
                                      <w:rPr>
                                        <w:rFonts w:asciiTheme="majorHAnsi" w:eastAsiaTheme="majorEastAsia" w:hAnsiTheme="majorHAnsi" w:cstheme="majorBidi"/>
                                        <w:noProof/>
                                        <w:color w:val="6FAD45" w:themeColor="accent1"/>
                                        <w:sz w:val="72"/>
                                        <w:szCs w:val="72"/>
                                      </w:rPr>
                                      <w:t>Climate and Stormwater Hazard Assessment</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28000</wp14:pctHeight>
                    </wp14:sizeRelV>
                  </wp:anchor>
                </w:drawing>
              </mc:Choice>
              <mc:Fallback>
                <w:pict>
                  <v:shapetype w14:anchorId="485F7110" id="_x0000_t202" coordsize="21600,21600" o:spt="202" path="m,l,21600r21600,l21600,xe">
                    <v:stroke joinstyle="miter"/>
                    <v:path gradientshapeok="t" o:connecttype="rect"/>
                  </v:shapetype>
                  <v:shape id="Text Box 265" o:spid="_x0000_s1026" type="#_x0000_t202" style="position:absolute;margin-left:36.95pt;margin-top:574pt;width:478.05pt;height:194.9pt;z-index:251658242;visibility:visible;mso-wrap-style:square;mso-width-percent:0;mso-height-percent:280;mso-wrap-distance-left:9pt;mso-wrap-distance-top:0;mso-wrap-distance-right:9pt;mso-wrap-distance-bottom:0;mso-position-horizontal:absolute;mso-position-horizontal-relative:page;mso-position-vertical:absolute;mso-position-vertical-relative:page;mso-width-percent:0;mso-height-percent:28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" filled="f" stroked="f" strokeweight=".5pt">
                    <v:textbox style="mso-fit-shape-to-text:t">
                      <w:txbxContent>
                        <w:sdt>
                          <w:sdtPr>
                            <w:rPr>
                              <w:rFonts w:asciiTheme="majorHAnsi" w:eastAsiaTheme="majorEastAsia" w:hAnsiTheme="majorHAnsi" w:cstheme="majorBidi"/>
                              <w:noProof/>
                              <w:color w:val="6FAD45" w:themeColor="accent1"/>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7B5075F8" w14:textId="15A1B473" w:rsidR="00C310A4" w:rsidRDefault="006D025A" w:rsidP="00162924">
                              <w:pPr>
                                <w:spacing w:line="240" w:lineRule="auto"/>
                                <w:rPr>
                                  <w:rFonts w:asciiTheme="majorHAnsi" w:eastAsiaTheme="majorEastAsia" w:hAnsiTheme="majorHAnsi" w:cstheme="majorBidi" w:hint="eastAsia"/>
                                  <w:noProof/>
                                  <w:color w:val="000000" w:themeColor="text2"/>
                                  <w:sz w:val="32"/>
                                  <w:szCs w:val="40"/>
                                </w:rPr>
                              </w:pPr>
                              <w:r>
                                <w:rPr>
                                  <w:rFonts w:asciiTheme="majorHAnsi" w:eastAsiaTheme="majorEastAsia" w:hAnsiTheme="majorHAnsi" w:cstheme="majorBidi"/>
                                  <w:noProof/>
                                  <w:color w:val="6FAD45" w:themeColor="accent1"/>
                                  <w:sz w:val="72"/>
                                  <w:szCs w:val="72"/>
                                </w:rPr>
                                <w:t>Climate and Stormwater Hazard Assessment</w:t>
                              </w:r>
                            </w:p>
                          </w:sdtContent>
                        </w:sdt>
                      </w:txbxContent>
                    </v:textbox>
                    <w10:wrap type="square" anchorx="page" anchory="page"/>
                  </v:shape>
                </w:pict>
              </mc:Fallback>
            </mc:AlternateContent>
          </w:r>
          <w:r w:rsidR="00187A1B">
            <w:rPr>
              <w:noProof/>
            </w:rPr>
            <mc:AlternateContent>
              <mc:Choice Requires="wps">
                <w:drawing>
                  <wp:anchor distT="0" distB="0" distL="114300" distR="114300" simplePos="0" relativeHeight="251658243" behindDoc="0" locked="0" layoutInCell="1" allowOverlap="1" wp14:anchorId="6DAD5DA3" wp14:editId="5F918980">
                    <wp:simplePos x="0" y="0"/>
                    <wp:positionH relativeFrom="column">
                      <wp:posOffset>-914400</wp:posOffset>
                    </wp:positionH>
                    <wp:positionV relativeFrom="paragraph">
                      <wp:posOffset>7496175</wp:posOffset>
                    </wp:positionV>
                    <wp:extent cx="6540500" cy="900430"/>
                    <wp:effectExtent l="0" t="0" r="0" b="0"/>
                    <wp:wrapNone/>
                    <wp:docPr id="941152204" name="object 8"/>
                    <wp:cNvGraphicFramePr/>
                    <a:graphic xmlns:a="http://schemas.openxmlformats.org/drawingml/2006/main">
                      <a:graphicData uri="http://schemas.microsoft.com/office/word/2010/wordprocessingShape">
                        <wps:wsp>
                          <wps:cNvSpPr/>
                          <wps:spPr>
                            <a:xfrm>
                              <a:off x="0" y="0"/>
                              <a:ext cx="6540500" cy="900430"/>
                            </a:xfrm>
                            <a:custGeom>
                              <a:avLst/>
                              <a:gdLst/>
                              <a:ahLst/>
                              <a:cxnLst/>
                              <a:rect l="l" t="t" r="r" b="b"/>
                              <a:pathLst>
                                <a:path w="6540500" h="900429">
                                  <a:moveTo>
                                    <a:pt x="6539992" y="0"/>
                                  </a:moveTo>
                                  <a:lnTo>
                                    <a:pt x="0" y="0"/>
                                  </a:lnTo>
                                  <a:lnTo>
                                    <a:pt x="0" y="899998"/>
                                  </a:lnTo>
                                  <a:lnTo>
                                    <a:pt x="6539992" y="899998"/>
                                  </a:lnTo>
                                  <a:lnTo>
                                    <a:pt x="6539992" y="0"/>
                                  </a:lnTo>
                                  <a:close/>
                                </a:path>
                              </a:pathLst>
                            </a:custGeom>
                            <a:solidFill>
                              <a:schemeClr val="accent3"/>
                            </a:solidFill>
                          </wps:spPr>
                          <wps:bodyPr wrap="square" lIns="0" tIns="0" rIns="0" bIns="0" rtlCol="0"/>
                        </wps:wsp>
                      </a:graphicData>
                    </a:graphic>
                  </wp:anchor>
                </w:drawing>
              </mc:Choice>
              <mc:Fallback xmlns:arto="http://schemas.microsoft.com/office/word/2006/arto">
                <w:pict>
                  <v:shape w14:anchorId="094866C2" id="object 8" o:spid="_x0000_s1026" style="position:absolute;margin-left:-1in;margin-top:590.25pt;width:515pt;height:70.9pt;z-index:251658246;visibility:visible;mso-wrap-style:square;mso-wrap-distance-left:9pt;mso-wrap-distance-top:0;mso-wrap-distance-right:9pt;mso-wrap-distance-bottom:0;mso-position-horizontal:absolute;mso-position-horizontal-relative:text;mso-position-vertical:absolute;mso-position-vertical-relative:text;v-text-anchor:top" coordsize="6540500,900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" path="m6539992,l,,,899998r6539992,l6539992,xe" fillcolor="#4970b7 [3206]" stroked="f">
                    <v:path arrowok="t"/>
                  </v:shape>
                </w:pict>
              </mc:Fallback>
            </mc:AlternateContent>
          </w:r>
          <w:r w:rsidR="00C310A4">
            <w:br w:type="page"/>
          </w:r>
        </w:p>
      </w:sdtContent>
    </w:sdt>
    <w:p w14:paraId="3BF0102A" w14:textId="61E82AF6" w:rsidR="004D42B8" w:rsidRPr="00511A36" w:rsidRDefault="00BB3851" w:rsidP="00162924">
      <w:pPr>
        <w:pStyle w:val="Heading1"/>
        <w:tabs>
          <w:tab w:val="left" w:pos="7520"/>
        </w:tabs>
        <w:rPr>
          <w:rFonts w:hint="eastAsia"/>
        </w:rPr>
      </w:pPr>
      <w:bookmarkStart w:id="0" w:name="_Toc233228196"/>
      <w:r>
        <w:t>Executive Summary</w:t>
      </w:r>
      <w:bookmarkEnd w:id="0"/>
      <w:r w:rsidR="004E1686">
        <w:tab/>
      </w:r>
    </w:p>
    <w:p w14:paraId="03A8ED3C" w14:textId="39F43E96" w:rsidR="004D42B8" w:rsidRPr="00511A36" w:rsidRDefault="004D42B8" w:rsidP="004D42B8">
      <w:pPr>
        <w:rPr>
          <w:rFonts w:eastAsia="Arial"/>
        </w:rPr>
      </w:pPr>
      <w:r w:rsidRPr="00511A36">
        <w:rPr>
          <w:rFonts w:eastAsia="Arial"/>
        </w:rPr>
        <w:t xml:space="preserve">The Western Connecticut Council of Governments (WestCOG) serves as a resource to implement planning, technology, and transportation initiatives cooperatively across its 18 member municipalities. WestCOG also aims to support the region’s Metropolitan Planning Organizations (MPOs): the Housatonic Valley MPO and the </w:t>
      </w:r>
      <w:proofErr w:type="gramStart"/>
      <w:r w:rsidRPr="00511A36">
        <w:rPr>
          <w:rFonts w:eastAsia="Arial"/>
        </w:rPr>
        <w:t>South Western</w:t>
      </w:r>
      <w:proofErr w:type="gramEnd"/>
      <w:r w:rsidRPr="00511A36">
        <w:rPr>
          <w:rFonts w:eastAsia="Arial"/>
        </w:rPr>
        <w:t xml:space="preserve"> Region MPO, which </w:t>
      </w:r>
      <w:r w:rsidR="003844D4">
        <w:rPr>
          <w:rFonts w:eastAsia="Arial"/>
        </w:rPr>
        <w:t xml:space="preserve">are coextensive </w:t>
      </w:r>
      <w:r w:rsidR="00BF651F">
        <w:rPr>
          <w:rFonts w:eastAsia="Arial"/>
        </w:rPr>
        <w:t xml:space="preserve">with </w:t>
      </w:r>
      <w:r w:rsidRPr="00511A36">
        <w:rPr>
          <w:rFonts w:eastAsia="Arial"/>
        </w:rPr>
        <w:t xml:space="preserve">WestCOG. Together, these frameworks and participants work to uphold shared regional values and </w:t>
      </w:r>
      <w:r w:rsidR="002508EE" w:rsidRPr="002508EE">
        <w:rPr>
          <w:rFonts w:eastAsia="Arial"/>
        </w:rPr>
        <w:t xml:space="preserve">advance </w:t>
      </w:r>
      <w:r w:rsidRPr="00511A36">
        <w:rPr>
          <w:rFonts w:eastAsia="Arial"/>
        </w:rPr>
        <w:t xml:space="preserve">the identified goals of WestCOG </w:t>
      </w:r>
      <w:r w:rsidR="002508EE" w:rsidRPr="002508EE">
        <w:rPr>
          <w:rFonts w:eastAsia="Arial"/>
        </w:rPr>
        <w:t xml:space="preserve">participating </w:t>
      </w:r>
      <w:r w:rsidRPr="00511A36">
        <w:rPr>
          <w:rFonts w:eastAsia="Arial"/>
        </w:rPr>
        <w:t>communities in transportation, land use, community development, the environment, and open space.</w:t>
      </w:r>
      <w:r w:rsidR="0067101B" w:rsidRPr="00511A36">
        <w:rPr>
          <w:rFonts w:eastAsia="Arial"/>
        </w:rPr>
        <w:t xml:space="preserve"> </w:t>
      </w:r>
    </w:p>
    <w:p w14:paraId="6875B0A1" w14:textId="570B595B" w:rsidR="004F6F3F" w:rsidRPr="00734799" w:rsidRDefault="004D42B8" w:rsidP="004D42B8">
      <w:pPr>
        <w:rPr>
          <w:rFonts w:hint="eastAsia"/>
          <w:b/>
        </w:rPr>
      </w:pPr>
      <w:r w:rsidRPr="00511A36">
        <w:rPr>
          <w:rFonts w:eastAsia="Arial"/>
        </w:rPr>
        <w:t xml:space="preserve">As identified in WestCOG’s 2022-2027 Strategic Plan, climate resiliency is a key area of improvement for the region, including in environmental and conservation planning, master planning, and emergency management. Connecticut communities face a wide range of climate change concerns – flooding, increased temperatures, wildfires, sea level rise, and more – and can improve community resilience by implementing </w:t>
      </w:r>
      <w:r w:rsidR="00D60901">
        <w:rPr>
          <w:rFonts w:eastAsia="Arial"/>
        </w:rPr>
        <w:t>local</w:t>
      </w:r>
      <w:r w:rsidR="00D60901" w:rsidRPr="002508EE">
        <w:rPr>
          <w:rFonts w:eastAsia="Arial"/>
        </w:rPr>
        <w:t xml:space="preserve"> </w:t>
      </w:r>
      <w:r w:rsidRPr="00511A36">
        <w:rPr>
          <w:rFonts w:eastAsia="Arial"/>
        </w:rPr>
        <w:t>Plans of Conservation and Development</w:t>
      </w:r>
      <w:r w:rsidRPr="00511A36">
        <w:rPr>
          <w:rFonts w:eastAsia="Arial" w:cstheme="minorHAnsi"/>
        </w:rPr>
        <w:t xml:space="preserve"> (POCDs). </w:t>
      </w:r>
      <w:r w:rsidR="0034468E">
        <w:rPr>
          <w:rFonts w:eastAsia="Arial" w:cstheme="minorHAnsi"/>
        </w:rPr>
        <w:t xml:space="preserve">In support of </w:t>
      </w:r>
      <w:r w:rsidR="00B27D79">
        <w:rPr>
          <w:rFonts w:eastAsia="Arial" w:cstheme="minorHAnsi"/>
        </w:rPr>
        <w:t xml:space="preserve">local </w:t>
      </w:r>
      <w:r w:rsidR="0034468E">
        <w:rPr>
          <w:rFonts w:eastAsia="Arial" w:cstheme="minorHAnsi"/>
        </w:rPr>
        <w:t xml:space="preserve">POCD development, </w:t>
      </w:r>
      <w:r w:rsidR="000946D1">
        <w:rPr>
          <w:rFonts w:eastAsia="Arial" w:cstheme="minorHAnsi"/>
        </w:rPr>
        <w:t>t</w:t>
      </w:r>
      <w:r w:rsidR="000946D1" w:rsidRPr="00511A36">
        <w:rPr>
          <w:rFonts w:eastAsia="Arial" w:cstheme="minorHAnsi"/>
        </w:rPr>
        <w:t xml:space="preserve">he WestCOG </w:t>
      </w:r>
      <w:r w:rsidR="000946D1" w:rsidRPr="00511A36">
        <w:rPr>
          <w:rFonts w:eastAsia="MS Mincho" w:cstheme="minorHAnsi"/>
          <w:i/>
          <w:iCs/>
        </w:rPr>
        <w:t>Climate and Stormwater Hazard Assessment</w:t>
      </w:r>
      <w:r w:rsidR="000946D1" w:rsidRPr="00511A36">
        <w:rPr>
          <w:rFonts w:eastAsia="Arial" w:cstheme="minorHAnsi"/>
        </w:rPr>
        <w:t xml:space="preserve"> </w:t>
      </w:r>
      <w:r w:rsidR="004F6F3F">
        <w:rPr>
          <w:rFonts w:eastAsia="Arial" w:cstheme="minorHAnsi"/>
        </w:rPr>
        <w:t xml:space="preserve">(“Assessment”) </w:t>
      </w:r>
      <w:r w:rsidR="000946D1" w:rsidRPr="00511A36">
        <w:rPr>
          <w:rFonts w:eastAsia="Arial"/>
        </w:rPr>
        <w:t>provide</w:t>
      </w:r>
      <w:r w:rsidR="000946D1">
        <w:rPr>
          <w:rFonts w:eastAsia="Arial"/>
        </w:rPr>
        <w:t>s</w:t>
      </w:r>
      <w:r w:rsidR="000946D1" w:rsidRPr="00511A36">
        <w:rPr>
          <w:rFonts w:eastAsia="Arial"/>
        </w:rPr>
        <w:t xml:space="preserve"> all member municipalities with a thorough understanding of </w:t>
      </w:r>
      <w:r w:rsidR="000946D1">
        <w:rPr>
          <w:rFonts w:eastAsia="Arial"/>
        </w:rPr>
        <w:t xml:space="preserve">baseline </w:t>
      </w:r>
      <w:r w:rsidR="000946D1" w:rsidRPr="00511A36">
        <w:rPr>
          <w:rFonts w:eastAsia="Arial"/>
        </w:rPr>
        <w:t>regional climate data</w:t>
      </w:r>
      <w:r w:rsidR="000946D1">
        <w:rPr>
          <w:rFonts w:eastAsia="Arial"/>
        </w:rPr>
        <w:t xml:space="preserve"> by outlining hazards and related planning considerations</w:t>
      </w:r>
      <w:r w:rsidR="00CF5C6D">
        <w:rPr>
          <w:rFonts w:eastAsia="Arial"/>
        </w:rPr>
        <w:t xml:space="preserve"> for the area</w:t>
      </w:r>
      <w:r w:rsidR="000946D1">
        <w:rPr>
          <w:rFonts w:eastAsia="Arial"/>
        </w:rPr>
        <w:t xml:space="preserve">. </w:t>
      </w:r>
      <w:r w:rsidR="00CF5C6D">
        <w:rPr>
          <w:rFonts w:eastAsia="Arial"/>
        </w:rPr>
        <w:t xml:space="preserve">Climate and hazard data included in this Assessment are further refined for localities in subsequent documents, including </w:t>
      </w:r>
      <w:r w:rsidR="00B62F5D" w:rsidRPr="002508EE">
        <w:rPr>
          <w:rFonts w:eastAsia="Arial"/>
        </w:rPr>
        <w:t xml:space="preserve">the </w:t>
      </w:r>
      <w:r w:rsidR="007627DA" w:rsidRPr="00734799">
        <w:rPr>
          <w:rFonts w:eastAsia="Arial"/>
          <w:i/>
          <w:iCs/>
        </w:rPr>
        <w:t xml:space="preserve">Locally Variable Hazard </w:t>
      </w:r>
      <w:r w:rsidR="008D4C0A">
        <w:rPr>
          <w:rFonts w:eastAsia="Arial"/>
          <w:i/>
          <w:iCs/>
        </w:rPr>
        <w:t>Assessment</w:t>
      </w:r>
      <w:r w:rsidR="00CF5C6D" w:rsidRPr="002508EE">
        <w:rPr>
          <w:rFonts w:eastAsia="Arial"/>
          <w:i/>
        </w:rPr>
        <w:t xml:space="preserve"> </w:t>
      </w:r>
      <w:r w:rsidR="00CF5C6D">
        <w:rPr>
          <w:rFonts w:eastAsia="Arial"/>
        </w:rPr>
        <w:t xml:space="preserve">and </w:t>
      </w:r>
      <w:r w:rsidR="00301FCC" w:rsidRPr="002508EE">
        <w:rPr>
          <w:rFonts w:eastAsia="Arial"/>
        </w:rPr>
        <w:t>the</w:t>
      </w:r>
      <w:r w:rsidR="00AD055F" w:rsidRPr="002508EE">
        <w:rPr>
          <w:rFonts w:eastAsia="Arial"/>
        </w:rPr>
        <w:t xml:space="preserve"> </w:t>
      </w:r>
      <w:r w:rsidR="00AD055F" w:rsidRPr="00734799">
        <w:rPr>
          <w:rFonts w:eastAsia="Arial"/>
          <w:i/>
          <w:iCs/>
        </w:rPr>
        <w:t xml:space="preserve">Community </w:t>
      </w:r>
      <w:r w:rsidR="00E63327" w:rsidRPr="00734799">
        <w:rPr>
          <w:rFonts w:eastAsia="Arial"/>
          <w:i/>
          <w:iCs/>
        </w:rPr>
        <w:t>POCD Climate Chapter Template</w:t>
      </w:r>
      <w:r w:rsidR="00CF5C6D" w:rsidRPr="002508EE">
        <w:rPr>
          <w:rFonts w:eastAsia="Arial"/>
        </w:rPr>
        <w:t>.</w:t>
      </w:r>
      <w:r w:rsidR="00CF5C6D" w:rsidRPr="00511A36">
        <w:rPr>
          <w:rFonts w:eastAsia="Arial"/>
        </w:rPr>
        <w:t xml:space="preserve"> </w:t>
      </w:r>
      <w:r w:rsidR="00CF5C6D">
        <w:rPr>
          <w:rFonts w:eastAsia="Arial" w:cstheme="minorHAnsi"/>
        </w:rPr>
        <w:t>Together, these resources</w:t>
      </w:r>
      <w:r w:rsidR="0034468E" w:rsidRPr="00511A36">
        <w:rPr>
          <w:rFonts w:eastAsia="Arial"/>
        </w:rPr>
        <w:t xml:space="preserve"> enable a consistent approach to </w:t>
      </w:r>
      <w:r w:rsidR="0006309C">
        <w:rPr>
          <w:rFonts w:eastAsia="Arial"/>
        </w:rPr>
        <w:t xml:space="preserve">regional and </w:t>
      </w:r>
      <w:r w:rsidR="0034468E" w:rsidRPr="00511A36">
        <w:rPr>
          <w:rFonts w:eastAsia="Arial"/>
        </w:rPr>
        <w:t>local POCDs, future planning and mitigation efforts, and compliance with Public Act 25-33 (PA 25-33, also known as the “Climate Bill”).</w:t>
      </w:r>
    </w:p>
    <w:p w14:paraId="3255142F" w14:textId="4709362C" w:rsidR="00EA27A8" w:rsidRDefault="00EA27A8" w:rsidP="00C0348F">
      <w:pPr>
        <w:pStyle w:val="FigureTableCaptions"/>
        <w:rPr>
          <w:rFonts w:hint="eastAsia"/>
        </w:rPr>
      </w:pPr>
      <w:bookmarkStart w:id="1" w:name="_Toc233227494"/>
      <w:r w:rsidRPr="00C0348F">
        <w:rPr>
          <w:b/>
          <w:bCs/>
        </w:rPr>
        <w:t xml:space="preserve">Table </w:t>
      </w:r>
      <w:r w:rsidR="006E6170" w:rsidRPr="00C0348F">
        <w:rPr>
          <w:b/>
          <w:bCs/>
        </w:rPr>
        <w:fldChar w:fldCharType="begin"/>
      </w:r>
      <w:r w:rsidR="006E6170" w:rsidRPr="00C0348F">
        <w:rPr>
          <w:b/>
          <w:bCs/>
        </w:rPr>
        <w:instrText xml:space="preserve"> SEQ Table \* ARABIC </w:instrText>
      </w:r>
      <w:r w:rsidR="006E6170" w:rsidRPr="00C0348F">
        <w:rPr>
          <w:b/>
          <w:bCs/>
        </w:rPr>
        <w:fldChar w:fldCharType="separate"/>
      </w:r>
      <w:r w:rsidR="00AB64CB" w:rsidRPr="00C0348F">
        <w:rPr>
          <w:b/>
          <w:bCs/>
          <w:noProof/>
        </w:rPr>
        <w:t>1</w:t>
      </w:r>
      <w:r w:rsidR="006E6170" w:rsidRPr="00C0348F">
        <w:rPr>
          <w:b/>
          <w:bCs/>
          <w:noProof/>
        </w:rPr>
        <w:fldChar w:fldCharType="end"/>
      </w:r>
      <w:r w:rsidRPr="00C0348F">
        <w:rPr>
          <w:b/>
          <w:bCs/>
        </w:rPr>
        <w:t>.</w:t>
      </w:r>
      <w:r>
        <w:t xml:space="preserve"> </w:t>
      </w:r>
      <w:r w:rsidRPr="00D30482">
        <w:t>Public Act 25-33 Required Hazards and Assessment Alignment</w:t>
      </w:r>
      <w:bookmarkEnd w:id="1"/>
    </w:p>
    <w:tbl>
      <w:tblPr>
        <w:tblStyle w:val="SG-Table"/>
        <w:tblW w:w="0" w:type="auto"/>
        <w:tblLook w:val="04A0" w:firstRow="1" w:lastRow="0" w:firstColumn="1" w:lastColumn="0" w:noHBand="0" w:noVBand="1"/>
      </w:tblPr>
      <w:tblGrid>
        <w:gridCol w:w="3685"/>
        <w:gridCol w:w="4140"/>
        <w:gridCol w:w="1525"/>
      </w:tblGrid>
      <w:tr w:rsidR="00AD1AD5" w:rsidRPr="002508EE" w14:paraId="016602BC" w14:textId="77777777" w:rsidTr="00DA4E49">
        <w:trPr>
          <w:cnfStyle w:val="100000000000" w:firstRow="1" w:lastRow="0" w:firstColumn="0" w:lastColumn="0" w:oddVBand="0" w:evenVBand="0" w:oddHBand="0" w:evenHBand="0" w:firstRowFirstColumn="0" w:firstRowLastColumn="0" w:lastRowFirstColumn="0" w:lastRowLastColumn="0"/>
        </w:trPr>
        <w:tc>
          <w:tcPr>
            <w:tcW w:w="3685" w:type="dxa"/>
            <w:shd w:val="clear" w:color="auto" w:fill="6FAD45" w:themeFill="accent1"/>
          </w:tcPr>
          <w:p w14:paraId="237D8A65" w14:textId="1142AFB6" w:rsidR="00280587" w:rsidRPr="00843358" w:rsidRDefault="00BB4023" w:rsidP="00462240">
            <w:pPr>
              <w:jc w:val="center"/>
              <w:rPr>
                <w:rFonts w:asciiTheme="majorHAnsi" w:hAnsiTheme="majorHAnsi" w:cstheme="majorHAnsi" w:hint="eastAsia"/>
                <w:caps w:val="0"/>
              </w:rPr>
            </w:pPr>
            <w:r w:rsidRPr="00843358">
              <w:rPr>
                <w:rFonts w:asciiTheme="majorHAnsi" w:hAnsiTheme="majorHAnsi" w:cstheme="majorHAnsi"/>
                <w:caps w:val="0"/>
              </w:rPr>
              <w:t xml:space="preserve">Required </w:t>
            </w:r>
            <w:r w:rsidR="00280587" w:rsidRPr="00843358">
              <w:rPr>
                <w:rFonts w:asciiTheme="majorHAnsi" w:hAnsiTheme="majorHAnsi" w:cstheme="majorHAnsi"/>
                <w:caps w:val="0"/>
              </w:rPr>
              <w:t>Hazard</w:t>
            </w:r>
          </w:p>
        </w:tc>
        <w:tc>
          <w:tcPr>
            <w:tcW w:w="4140" w:type="dxa"/>
            <w:shd w:val="clear" w:color="auto" w:fill="6FAD45" w:themeFill="accent1"/>
          </w:tcPr>
          <w:p w14:paraId="2232F76C" w14:textId="07AC122E" w:rsidR="00280587" w:rsidRPr="00843358" w:rsidRDefault="00BB4023" w:rsidP="00462240">
            <w:pPr>
              <w:jc w:val="center"/>
              <w:rPr>
                <w:rFonts w:asciiTheme="majorHAnsi" w:hAnsiTheme="majorHAnsi" w:cstheme="majorHAnsi" w:hint="eastAsia"/>
                <w:caps w:val="0"/>
              </w:rPr>
            </w:pPr>
            <w:r w:rsidRPr="00843358">
              <w:rPr>
                <w:rFonts w:asciiTheme="majorHAnsi" w:hAnsiTheme="majorHAnsi" w:cstheme="majorHAnsi"/>
                <w:caps w:val="0"/>
              </w:rPr>
              <w:t xml:space="preserve">Assessment </w:t>
            </w:r>
            <w:r w:rsidR="00413D9D" w:rsidRPr="00843358">
              <w:rPr>
                <w:rFonts w:asciiTheme="majorHAnsi" w:hAnsiTheme="majorHAnsi" w:cstheme="majorHAnsi"/>
                <w:caps w:val="0"/>
              </w:rPr>
              <w:t>Section</w:t>
            </w:r>
          </w:p>
        </w:tc>
        <w:tc>
          <w:tcPr>
            <w:tcW w:w="1525" w:type="dxa"/>
            <w:shd w:val="clear" w:color="auto" w:fill="6FAD45" w:themeFill="accent1"/>
          </w:tcPr>
          <w:p w14:paraId="184A9C97" w14:textId="7620B9FB" w:rsidR="00280587" w:rsidRPr="00843358" w:rsidRDefault="00E01B7F" w:rsidP="00462240">
            <w:pPr>
              <w:jc w:val="center"/>
              <w:rPr>
                <w:rFonts w:asciiTheme="majorHAnsi" w:hAnsiTheme="majorHAnsi" w:cstheme="majorHAnsi" w:hint="eastAsia"/>
                <w:caps w:val="0"/>
              </w:rPr>
            </w:pPr>
            <w:r w:rsidRPr="00843358">
              <w:rPr>
                <w:rFonts w:asciiTheme="majorHAnsi" w:hAnsiTheme="majorHAnsi" w:cstheme="majorHAnsi"/>
                <w:caps w:val="0"/>
              </w:rPr>
              <w:t>Page</w:t>
            </w:r>
          </w:p>
        </w:tc>
      </w:tr>
      <w:tr w:rsidR="00280587" w:rsidRPr="002508EE" w14:paraId="51AF7F30" w14:textId="77777777" w:rsidTr="00734799">
        <w:trPr>
          <w:cnfStyle w:val="000000100000" w:firstRow="0" w:lastRow="0" w:firstColumn="0" w:lastColumn="0" w:oddVBand="0" w:evenVBand="0" w:oddHBand="1" w:evenHBand="0" w:firstRowFirstColumn="0" w:firstRowLastColumn="0" w:lastRowFirstColumn="0" w:lastRowLastColumn="0"/>
        </w:trPr>
        <w:tc>
          <w:tcPr>
            <w:tcW w:w="3685" w:type="dxa"/>
          </w:tcPr>
          <w:p w14:paraId="41838A6A" w14:textId="2B08E16E" w:rsidR="00280587" w:rsidRPr="00734799" w:rsidRDefault="00BD3358" w:rsidP="004D42B8">
            <w:pPr>
              <w:rPr>
                <w:rFonts w:asciiTheme="majorHAnsi" w:hAnsiTheme="majorHAnsi" w:cstheme="majorHAnsi" w:hint="eastAsia"/>
              </w:rPr>
            </w:pPr>
            <w:r w:rsidRPr="00734799">
              <w:rPr>
                <w:rFonts w:asciiTheme="majorHAnsi" w:hAnsiTheme="majorHAnsi" w:cstheme="majorHAnsi"/>
              </w:rPr>
              <w:t>Increased Temperatures</w:t>
            </w:r>
          </w:p>
        </w:tc>
        <w:tc>
          <w:tcPr>
            <w:tcW w:w="4140" w:type="dxa"/>
          </w:tcPr>
          <w:p w14:paraId="6E61CD1D" w14:textId="2FD81C1D" w:rsidR="00280587" w:rsidRPr="00734799" w:rsidRDefault="00501B59" w:rsidP="004D42B8">
            <w:pPr>
              <w:rPr>
                <w:rFonts w:asciiTheme="majorHAnsi" w:hAnsiTheme="majorHAnsi" w:cstheme="majorHAnsi" w:hint="eastAsia"/>
              </w:rPr>
            </w:pPr>
            <w:r w:rsidRPr="00734799">
              <w:rPr>
                <w:rFonts w:asciiTheme="majorHAnsi" w:hAnsiTheme="majorHAnsi" w:cstheme="majorHAnsi"/>
              </w:rPr>
              <w:t>Extreme Heat</w:t>
            </w:r>
          </w:p>
        </w:tc>
        <w:tc>
          <w:tcPr>
            <w:tcW w:w="1525" w:type="dxa"/>
          </w:tcPr>
          <w:p w14:paraId="3906B737" w14:textId="582AAB01" w:rsidR="00280587" w:rsidRPr="00734799" w:rsidRDefault="00462240" w:rsidP="00462240">
            <w:pPr>
              <w:jc w:val="center"/>
              <w:rPr>
                <w:rFonts w:asciiTheme="majorHAnsi" w:hAnsiTheme="majorHAnsi" w:cstheme="majorHAnsi" w:hint="eastAsia"/>
              </w:rPr>
            </w:pPr>
            <w:r>
              <w:rPr>
                <w:rFonts w:asciiTheme="majorHAnsi" w:hAnsiTheme="majorHAnsi" w:cstheme="majorHAnsi"/>
              </w:rPr>
              <w:t>24</w:t>
            </w:r>
          </w:p>
        </w:tc>
      </w:tr>
      <w:tr w:rsidR="00353D3C" w:rsidRPr="002508EE" w14:paraId="303519D4" w14:textId="77777777" w:rsidTr="00E01B7F">
        <w:trPr>
          <w:cnfStyle w:val="000000010000" w:firstRow="0" w:lastRow="0" w:firstColumn="0" w:lastColumn="0" w:oddVBand="0" w:evenVBand="0" w:oddHBand="0" w:evenHBand="1" w:firstRowFirstColumn="0" w:firstRowLastColumn="0" w:lastRowFirstColumn="0" w:lastRowLastColumn="0"/>
        </w:trPr>
        <w:tc>
          <w:tcPr>
            <w:tcW w:w="3685" w:type="dxa"/>
          </w:tcPr>
          <w:p w14:paraId="54AF35D8" w14:textId="01543007" w:rsidR="00280587" w:rsidRPr="00734799" w:rsidRDefault="00BD3358" w:rsidP="004D42B8">
            <w:pPr>
              <w:rPr>
                <w:rFonts w:asciiTheme="majorHAnsi" w:hAnsiTheme="majorHAnsi" w:cstheme="majorHAnsi" w:hint="eastAsia"/>
              </w:rPr>
            </w:pPr>
            <w:r w:rsidRPr="00734799">
              <w:rPr>
                <w:rFonts w:asciiTheme="majorHAnsi" w:hAnsiTheme="majorHAnsi" w:cstheme="majorHAnsi"/>
              </w:rPr>
              <w:t>Drought</w:t>
            </w:r>
          </w:p>
        </w:tc>
        <w:tc>
          <w:tcPr>
            <w:tcW w:w="4140" w:type="dxa"/>
          </w:tcPr>
          <w:p w14:paraId="60B17E67" w14:textId="7844FDB2" w:rsidR="00280587" w:rsidRPr="00734799" w:rsidRDefault="00C91CC2" w:rsidP="004D42B8">
            <w:pPr>
              <w:rPr>
                <w:rFonts w:asciiTheme="majorHAnsi" w:hAnsiTheme="majorHAnsi" w:cstheme="majorHAnsi" w:hint="eastAsia"/>
              </w:rPr>
            </w:pPr>
            <w:r w:rsidRPr="00734799">
              <w:rPr>
                <w:rFonts w:asciiTheme="majorHAnsi" w:hAnsiTheme="majorHAnsi" w:cstheme="majorHAnsi"/>
              </w:rPr>
              <w:t>Drought</w:t>
            </w:r>
          </w:p>
        </w:tc>
        <w:tc>
          <w:tcPr>
            <w:tcW w:w="1525" w:type="dxa"/>
          </w:tcPr>
          <w:p w14:paraId="144B1494" w14:textId="34F9AEB9" w:rsidR="00280587" w:rsidRPr="00734799" w:rsidRDefault="00B321D9" w:rsidP="00462240">
            <w:pPr>
              <w:jc w:val="center"/>
              <w:rPr>
                <w:rFonts w:asciiTheme="majorHAnsi" w:hAnsiTheme="majorHAnsi" w:cstheme="majorHAnsi" w:hint="eastAsia"/>
              </w:rPr>
            </w:pPr>
            <w:r>
              <w:rPr>
                <w:rFonts w:asciiTheme="majorHAnsi" w:hAnsiTheme="majorHAnsi" w:cstheme="majorHAnsi"/>
              </w:rPr>
              <w:t>24</w:t>
            </w:r>
          </w:p>
        </w:tc>
      </w:tr>
      <w:tr w:rsidR="00280587" w:rsidRPr="002508EE" w14:paraId="7B48FB68" w14:textId="77777777" w:rsidTr="00734799">
        <w:trPr>
          <w:cnfStyle w:val="000000100000" w:firstRow="0" w:lastRow="0" w:firstColumn="0" w:lastColumn="0" w:oddVBand="0" w:evenVBand="0" w:oddHBand="1" w:evenHBand="0" w:firstRowFirstColumn="0" w:firstRowLastColumn="0" w:lastRowFirstColumn="0" w:lastRowLastColumn="0"/>
        </w:trPr>
        <w:tc>
          <w:tcPr>
            <w:tcW w:w="3685" w:type="dxa"/>
          </w:tcPr>
          <w:p w14:paraId="70CC9FEE" w14:textId="7A80B3B9" w:rsidR="00280587" w:rsidRPr="00734799" w:rsidRDefault="00BD3358" w:rsidP="004D42B8">
            <w:pPr>
              <w:rPr>
                <w:rFonts w:asciiTheme="majorHAnsi" w:hAnsiTheme="majorHAnsi" w:cstheme="majorHAnsi" w:hint="eastAsia"/>
              </w:rPr>
            </w:pPr>
            <w:r w:rsidRPr="00734799">
              <w:rPr>
                <w:rFonts w:asciiTheme="majorHAnsi" w:hAnsiTheme="majorHAnsi" w:cstheme="majorHAnsi"/>
              </w:rPr>
              <w:t>Flooding</w:t>
            </w:r>
          </w:p>
        </w:tc>
        <w:tc>
          <w:tcPr>
            <w:tcW w:w="4140" w:type="dxa"/>
          </w:tcPr>
          <w:p w14:paraId="75205648" w14:textId="6E64B97A" w:rsidR="00280587" w:rsidRPr="00734799" w:rsidRDefault="00554E76" w:rsidP="004D42B8">
            <w:pPr>
              <w:rPr>
                <w:rFonts w:asciiTheme="majorHAnsi" w:hAnsiTheme="majorHAnsi" w:cstheme="majorHAnsi" w:hint="eastAsia"/>
              </w:rPr>
            </w:pPr>
            <w:r w:rsidRPr="00734799">
              <w:rPr>
                <w:rFonts w:asciiTheme="majorHAnsi" w:hAnsiTheme="majorHAnsi" w:cstheme="majorHAnsi"/>
              </w:rPr>
              <w:t>Flooding and Stormwater</w:t>
            </w:r>
          </w:p>
        </w:tc>
        <w:tc>
          <w:tcPr>
            <w:tcW w:w="1525" w:type="dxa"/>
          </w:tcPr>
          <w:p w14:paraId="749B0CDA" w14:textId="672387B5" w:rsidR="00280587" w:rsidRPr="00734799" w:rsidRDefault="008F1C58" w:rsidP="00462240">
            <w:pPr>
              <w:jc w:val="center"/>
              <w:rPr>
                <w:rFonts w:asciiTheme="majorHAnsi" w:hAnsiTheme="majorHAnsi" w:cstheme="majorHAnsi" w:hint="eastAsia"/>
              </w:rPr>
            </w:pPr>
            <w:r>
              <w:rPr>
                <w:rFonts w:asciiTheme="majorHAnsi" w:hAnsiTheme="majorHAnsi" w:cstheme="majorHAnsi"/>
              </w:rPr>
              <w:t>11</w:t>
            </w:r>
          </w:p>
        </w:tc>
      </w:tr>
      <w:tr w:rsidR="000B51D9" w:rsidRPr="002508EE" w14:paraId="1F3B76E1" w14:textId="77777777" w:rsidTr="00E01B7F">
        <w:trPr>
          <w:cnfStyle w:val="000000010000" w:firstRow="0" w:lastRow="0" w:firstColumn="0" w:lastColumn="0" w:oddVBand="0" w:evenVBand="0" w:oddHBand="0" w:evenHBand="1" w:firstRowFirstColumn="0" w:firstRowLastColumn="0" w:lastRowFirstColumn="0" w:lastRowLastColumn="0"/>
        </w:trPr>
        <w:tc>
          <w:tcPr>
            <w:tcW w:w="3685" w:type="dxa"/>
          </w:tcPr>
          <w:p w14:paraId="374CE19C" w14:textId="4151234B" w:rsidR="000B51D9" w:rsidRPr="00734799" w:rsidRDefault="00BD3358" w:rsidP="004D42B8">
            <w:pPr>
              <w:rPr>
                <w:rFonts w:asciiTheme="majorHAnsi" w:hAnsiTheme="majorHAnsi" w:cstheme="majorHAnsi" w:hint="eastAsia"/>
              </w:rPr>
            </w:pPr>
            <w:r w:rsidRPr="00734799">
              <w:rPr>
                <w:rFonts w:asciiTheme="majorHAnsi" w:hAnsiTheme="majorHAnsi" w:cstheme="majorHAnsi"/>
              </w:rPr>
              <w:t>Wildfire</w:t>
            </w:r>
          </w:p>
        </w:tc>
        <w:tc>
          <w:tcPr>
            <w:tcW w:w="4140" w:type="dxa"/>
          </w:tcPr>
          <w:p w14:paraId="1B77E648" w14:textId="789199C0" w:rsidR="000B51D9" w:rsidRPr="00734799" w:rsidRDefault="00554E76" w:rsidP="004D42B8">
            <w:pPr>
              <w:rPr>
                <w:rFonts w:asciiTheme="majorHAnsi" w:hAnsiTheme="majorHAnsi" w:cstheme="majorHAnsi" w:hint="eastAsia"/>
              </w:rPr>
            </w:pPr>
            <w:r w:rsidRPr="00734799">
              <w:rPr>
                <w:rFonts w:asciiTheme="majorHAnsi" w:hAnsiTheme="majorHAnsi" w:cstheme="majorHAnsi"/>
              </w:rPr>
              <w:t>Wildfire</w:t>
            </w:r>
          </w:p>
        </w:tc>
        <w:tc>
          <w:tcPr>
            <w:tcW w:w="1525" w:type="dxa"/>
          </w:tcPr>
          <w:p w14:paraId="61CA0C01" w14:textId="5A791B7D" w:rsidR="000B51D9" w:rsidRPr="00734799" w:rsidRDefault="008F1C58" w:rsidP="00462240">
            <w:pPr>
              <w:jc w:val="center"/>
              <w:rPr>
                <w:rFonts w:asciiTheme="majorHAnsi" w:hAnsiTheme="majorHAnsi" w:cstheme="majorHAnsi" w:hint="eastAsia"/>
              </w:rPr>
            </w:pPr>
            <w:r>
              <w:rPr>
                <w:rFonts w:asciiTheme="majorHAnsi" w:hAnsiTheme="majorHAnsi" w:cstheme="majorHAnsi"/>
              </w:rPr>
              <w:t>30</w:t>
            </w:r>
          </w:p>
        </w:tc>
      </w:tr>
      <w:tr w:rsidR="00280587" w:rsidRPr="002508EE" w14:paraId="25B98207" w14:textId="77777777" w:rsidTr="00734799">
        <w:trPr>
          <w:cnfStyle w:val="000000100000" w:firstRow="0" w:lastRow="0" w:firstColumn="0" w:lastColumn="0" w:oddVBand="0" w:evenVBand="0" w:oddHBand="1" w:evenHBand="0" w:firstRowFirstColumn="0" w:firstRowLastColumn="0" w:lastRowFirstColumn="0" w:lastRowLastColumn="0"/>
        </w:trPr>
        <w:tc>
          <w:tcPr>
            <w:tcW w:w="3685" w:type="dxa"/>
          </w:tcPr>
          <w:p w14:paraId="39E1BA7F" w14:textId="53CB87E5" w:rsidR="00280587" w:rsidRPr="00734799" w:rsidRDefault="00BD3358" w:rsidP="004D42B8">
            <w:pPr>
              <w:rPr>
                <w:rFonts w:asciiTheme="majorHAnsi" w:hAnsiTheme="majorHAnsi" w:cstheme="majorHAnsi" w:hint="eastAsia"/>
              </w:rPr>
            </w:pPr>
            <w:r w:rsidRPr="00734799">
              <w:rPr>
                <w:rFonts w:asciiTheme="majorHAnsi" w:hAnsiTheme="majorHAnsi" w:cstheme="majorHAnsi"/>
              </w:rPr>
              <w:t xml:space="preserve">Storm Damage </w:t>
            </w:r>
          </w:p>
        </w:tc>
        <w:tc>
          <w:tcPr>
            <w:tcW w:w="4140" w:type="dxa"/>
          </w:tcPr>
          <w:p w14:paraId="23BC5B67" w14:textId="2457109F" w:rsidR="00280587" w:rsidRPr="00734799" w:rsidRDefault="00554E76" w:rsidP="004D42B8">
            <w:pPr>
              <w:rPr>
                <w:rFonts w:asciiTheme="majorHAnsi" w:hAnsiTheme="majorHAnsi" w:cstheme="majorHAnsi" w:hint="eastAsia"/>
              </w:rPr>
            </w:pPr>
            <w:r w:rsidRPr="00734799">
              <w:rPr>
                <w:rFonts w:asciiTheme="majorHAnsi" w:hAnsiTheme="majorHAnsi" w:cstheme="majorHAnsi"/>
              </w:rPr>
              <w:t>Extreme Stor</w:t>
            </w:r>
            <w:r w:rsidR="00D54C54" w:rsidRPr="00734799">
              <w:rPr>
                <w:rFonts w:asciiTheme="majorHAnsi" w:hAnsiTheme="majorHAnsi" w:cstheme="majorHAnsi"/>
              </w:rPr>
              <w:t>m</w:t>
            </w:r>
            <w:r w:rsidRPr="00734799">
              <w:rPr>
                <w:rFonts w:asciiTheme="majorHAnsi" w:hAnsiTheme="majorHAnsi" w:cstheme="majorHAnsi"/>
              </w:rPr>
              <w:t>s</w:t>
            </w:r>
          </w:p>
        </w:tc>
        <w:tc>
          <w:tcPr>
            <w:tcW w:w="1525" w:type="dxa"/>
          </w:tcPr>
          <w:p w14:paraId="0C0B39EA" w14:textId="3A71BCC1" w:rsidR="00280587" w:rsidRPr="00734799" w:rsidRDefault="005712C6" w:rsidP="00462240">
            <w:pPr>
              <w:jc w:val="center"/>
              <w:rPr>
                <w:rFonts w:asciiTheme="majorHAnsi" w:hAnsiTheme="majorHAnsi" w:cstheme="majorHAnsi" w:hint="eastAsia"/>
              </w:rPr>
            </w:pPr>
            <w:r>
              <w:rPr>
                <w:rFonts w:asciiTheme="majorHAnsi" w:hAnsiTheme="majorHAnsi" w:cstheme="majorHAnsi"/>
              </w:rPr>
              <w:t>8</w:t>
            </w:r>
          </w:p>
        </w:tc>
      </w:tr>
      <w:tr w:rsidR="007529DA" w:rsidRPr="002508EE" w14:paraId="6444871F" w14:textId="77777777" w:rsidTr="00E01B7F">
        <w:trPr>
          <w:cnfStyle w:val="000000010000" w:firstRow="0" w:lastRow="0" w:firstColumn="0" w:lastColumn="0" w:oddVBand="0" w:evenVBand="0" w:oddHBand="0" w:evenHBand="1" w:firstRowFirstColumn="0" w:firstRowLastColumn="0" w:lastRowFirstColumn="0" w:lastRowLastColumn="0"/>
        </w:trPr>
        <w:tc>
          <w:tcPr>
            <w:tcW w:w="3685" w:type="dxa"/>
          </w:tcPr>
          <w:p w14:paraId="3798AAB5" w14:textId="4343F47B" w:rsidR="007529DA" w:rsidRPr="00734799" w:rsidRDefault="00BD3358" w:rsidP="004D42B8">
            <w:pPr>
              <w:rPr>
                <w:rFonts w:asciiTheme="majorHAnsi" w:hAnsiTheme="majorHAnsi" w:cstheme="majorHAnsi" w:hint="eastAsia"/>
              </w:rPr>
            </w:pPr>
            <w:r w:rsidRPr="00734799">
              <w:rPr>
                <w:rFonts w:asciiTheme="majorHAnsi" w:hAnsiTheme="majorHAnsi" w:cstheme="majorHAnsi"/>
              </w:rPr>
              <w:t>Sea Level Rise</w:t>
            </w:r>
          </w:p>
        </w:tc>
        <w:tc>
          <w:tcPr>
            <w:tcW w:w="4140" w:type="dxa"/>
          </w:tcPr>
          <w:p w14:paraId="76D9C28F" w14:textId="26BC4F94" w:rsidR="007529DA" w:rsidRPr="00734799" w:rsidRDefault="0003597A" w:rsidP="004D42B8">
            <w:pPr>
              <w:rPr>
                <w:rFonts w:asciiTheme="majorHAnsi" w:hAnsiTheme="majorHAnsi" w:cstheme="majorHAnsi" w:hint="eastAsia"/>
              </w:rPr>
            </w:pPr>
            <w:r w:rsidRPr="00734799">
              <w:rPr>
                <w:rFonts w:asciiTheme="majorHAnsi" w:hAnsiTheme="majorHAnsi" w:cstheme="majorHAnsi"/>
              </w:rPr>
              <w:t>Flooding and Stormwater</w:t>
            </w:r>
          </w:p>
        </w:tc>
        <w:tc>
          <w:tcPr>
            <w:tcW w:w="1525" w:type="dxa"/>
          </w:tcPr>
          <w:p w14:paraId="1B09DBDE" w14:textId="53F7C4E7" w:rsidR="007529DA" w:rsidRPr="00734799" w:rsidRDefault="00D11BC4" w:rsidP="00462240">
            <w:pPr>
              <w:jc w:val="center"/>
              <w:rPr>
                <w:rFonts w:asciiTheme="majorHAnsi" w:hAnsiTheme="majorHAnsi" w:cstheme="majorHAnsi" w:hint="eastAsia"/>
              </w:rPr>
            </w:pPr>
            <w:r>
              <w:rPr>
                <w:rFonts w:asciiTheme="majorHAnsi" w:hAnsiTheme="majorHAnsi" w:cstheme="majorHAnsi"/>
              </w:rPr>
              <w:t>1</w:t>
            </w:r>
            <w:r w:rsidR="000D4B1F">
              <w:rPr>
                <w:rFonts w:asciiTheme="majorHAnsi" w:hAnsiTheme="majorHAnsi" w:cstheme="majorHAnsi"/>
              </w:rPr>
              <w:t>9</w:t>
            </w:r>
          </w:p>
        </w:tc>
      </w:tr>
      <w:tr w:rsidR="007529DA" w:rsidRPr="002508EE" w14:paraId="52AE4F75" w14:textId="77777777" w:rsidTr="00734799">
        <w:trPr>
          <w:cnfStyle w:val="000000100000" w:firstRow="0" w:lastRow="0" w:firstColumn="0" w:lastColumn="0" w:oddVBand="0" w:evenVBand="0" w:oddHBand="1" w:evenHBand="0" w:firstRowFirstColumn="0" w:firstRowLastColumn="0" w:lastRowFirstColumn="0" w:lastRowLastColumn="0"/>
        </w:trPr>
        <w:tc>
          <w:tcPr>
            <w:tcW w:w="3685" w:type="dxa"/>
          </w:tcPr>
          <w:p w14:paraId="5F317378" w14:textId="2347AFDC" w:rsidR="007529DA" w:rsidRPr="00734799" w:rsidRDefault="00BD3358" w:rsidP="004D42B8">
            <w:pPr>
              <w:rPr>
                <w:rFonts w:asciiTheme="majorHAnsi" w:hAnsiTheme="majorHAnsi" w:cstheme="majorHAnsi" w:hint="eastAsia"/>
              </w:rPr>
            </w:pPr>
            <w:r w:rsidRPr="00734799">
              <w:rPr>
                <w:rFonts w:asciiTheme="majorHAnsi" w:hAnsiTheme="majorHAnsi" w:cstheme="majorHAnsi"/>
              </w:rPr>
              <w:t>Saltwater Intrusion</w:t>
            </w:r>
          </w:p>
        </w:tc>
        <w:tc>
          <w:tcPr>
            <w:tcW w:w="4140" w:type="dxa"/>
          </w:tcPr>
          <w:p w14:paraId="0727B371" w14:textId="4013B080" w:rsidR="007529DA" w:rsidRPr="00734799" w:rsidRDefault="00C30950" w:rsidP="004D42B8">
            <w:pPr>
              <w:rPr>
                <w:rFonts w:asciiTheme="majorHAnsi" w:hAnsiTheme="majorHAnsi" w:cstheme="majorHAnsi" w:hint="eastAsia"/>
              </w:rPr>
            </w:pPr>
            <w:r>
              <w:rPr>
                <w:rFonts w:asciiTheme="majorHAnsi" w:hAnsiTheme="majorHAnsi" w:cstheme="majorHAnsi"/>
              </w:rPr>
              <w:t>Flooding and Stormwater</w:t>
            </w:r>
          </w:p>
        </w:tc>
        <w:tc>
          <w:tcPr>
            <w:tcW w:w="1525" w:type="dxa"/>
          </w:tcPr>
          <w:p w14:paraId="191B984C" w14:textId="5B6008D2" w:rsidR="007529DA" w:rsidRPr="00734799" w:rsidRDefault="00B16C44" w:rsidP="00462240">
            <w:pPr>
              <w:jc w:val="center"/>
              <w:rPr>
                <w:rFonts w:asciiTheme="majorHAnsi" w:hAnsiTheme="majorHAnsi" w:cstheme="majorHAnsi" w:hint="eastAsia"/>
              </w:rPr>
            </w:pPr>
            <w:r>
              <w:rPr>
                <w:rFonts w:asciiTheme="majorHAnsi" w:hAnsiTheme="majorHAnsi" w:cstheme="majorHAnsi"/>
              </w:rPr>
              <w:t>23</w:t>
            </w:r>
          </w:p>
        </w:tc>
      </w:tr>
    </w:tbl>
    <w:p w14:paraId="1F865174" w14:textId="4C850D0E" w:rsidR="001116CD" w:rsidRPr="00734799" w:rsidRDefault="001116CD" w:rsidP="004D42B8">
      <w:pPr>
        <w:rPr>
          <w:rFonts w:hint="eastAsia"/>
          <w:i/>
          <w:iCs/>
        </w:rPr>
      </w:pPr>
      <w:r w:rsidRPr="00734799">
        <w:rPr>
          <w:i/>
          <w:iCs/>
        </w:rPr>
        <w:t xml:space="preserve">See </w:t>
      </w:r>
      <w:r w:rsidR="00BB4023">
        <w:rPr>
          <w:i/>
          <w:iCs/>
        </w:rPr>
        <w:t xml:space="preserve">PA 25-33 </w:t>
      </w:r>
      <w:r w:rsidR="00A85917" w:rsidRPr="00734799">
        <w:rPr>
          <w:i/>
          <w:iCs/>
        </w:rPr>
        <w:t>Se</w:t>
      </w:r>
      <w:r w:rsidR="00BB4023">
        <w:rPr>
          <w:i/>
          <w:iCs/>
        </w:rPr>
        <w:t>ction</w:t>
      </w:r>
      <w:r w:rsidR="00A85917" w:rsidRPr="00734799">
        <w:rPr>
          <w:i/>
          <w:iCs/>
        </w:rPr>
        <w:t xml:space="preserve"> 11</w:t>
      </w:r>
      <w:r w:rsidR="0062753B" w:rsidRPr="00734799">
        <w:rPr>
          <w:i/>
          <w:iCs/>
        </w:rPr>
        <w:t>(e)(2)</w:t>
      </w:r>
      <w:r w:rsidR="00396E3C" w:rsidRPr="00734799">
        <w:rPr>
          <w:i/>
          <w:iCs/>
        </w:rPr>
        <w:t>(d)</w:t>
      </w:r>
      <w:r w:rsidR="00EA27A8">
        <w:rPr>
          <w:i/>
          <w:iCs/>
        </w:rPr>
        <w:t>.</w:t>
      </w:r>
    </w:p>
    <w:p w14:paraId="123603FC" w14:textId="3F7E765F" w:rsidR="004D42B8" w:rsidRPr="00511A36" w:rsidRDefault="004B60DF" w:rsidP="004D42B8">
      <w:pPr>
        <w:rPr>
          <w:rFonts w:hint="eastAsia"/>
        </w:rPr>
      </w:pPr>
      <w:r>
        <w:t>The region</w:t>
      </w:r>
      <w:r w:rsidRPr="002508EE">
        <w:t xml:space="preserve"> is vulnerable to a wide range of climate</w:t>
      </w:r>
      <w:r>
        <w:t>- and stormwater-related hazards, particularly in and around</w:t>
      </w:r>
      <w:r w:rsidRPr="002508EE">
        <w:t xml:space="preserve"> urban centers and coastal areas. </w:t>
      </w:r>
      <w:r w:rsidR="006C2BEC">
        <w:t>A</w:t>
      </w:r>
      <w:r w:rsidR="004D42B8" w:rsidRPr="00511A36">
        <w:t xml:space="preserve">ssumptions of a stationary climate </w:t>
      </w:r>
      <w:r>
        <w:t>are</w:t>
      </w:r>
      <w:r w:rsidR="004D42B8" w:rsidRPr="00511A36">
        <w:t xml:space="preserve"> inadequate for long-term planning regarding natural hazard impacts in the WestCOG</w:t>
      </w:r>
      <w:r w:rsidR="00BF6B8D">
        <w:t xml:space="preserve"> region</w:t>
      </w:r>
      <w:r w:rsidR="004D42B8" w:rsidRPr="00511A36">
        <w:t>. As the</w:t>
      </w:r>
      <w:r w:rsidR="004D42B8" w:rsidRPr="00397DDE">
        <w:t xml:space="preserve"> </w:t>
      </w:r>
      <w:r w:rsidR="00AA218F">
        <w:t>g</w:t>
      </w:r>
      <w:r w:rsidR="0026779B">
        <w:t>lobal</w:t>
      </w:r>
      <w:r w:rsidR="004D42B8" w:rsidRPr="00511A36">
        <w:t xml:space="preserve"> climate warms, the intensity of </w:t>
      </w:r>
      <w:r w:rsidR="0026779B">
        <w:t xml:space="preserve">Atlantic </w:t>
      </w:r>
      <w:r w:rsidR="004D42B8" w:rsidRPr="00511A36">
        <w:t>tropical cyclones and thunderstorms is predicted to increase, leading to more severe flooding from heavier rainfall</w:t>
      </w:r>
      <w:r w:rsidR="007C73A6">
        <w:t xml:space="preserve"> </w:t>
      </w:r>
      <w:r w:rsidR="001E2D45">
        <w:t>in the Northeast United States</w:t>
      </w:r>
      <w:r w:rsidR="004D42B8" w:rsidRPr="00397DDE">
        <w:t>.</w:t>
      </w:r>
      <w:r w:rsidR="004D42B8" w:rsidRPr="00511A36">
        <w:t xml:space="preserve"> These climate-driven trends will </w:t>
      </w:r>
      <w:r w:rsidR="00BE7907" w:rsidRPr="00511A36">
        <w:t xml:space="preserve">also </w:t>
      </w:r>
      <w:r w:rsidR="004D42B8" w:rsidRPr="00511A36">
        <w:t xml:space="preserve">lead to more substantial riverine, coastal, and storm-surge flooding. Combined flood risk most significantly </w:t>
      </w:r>
      <w:r w:rsidR="00842CE9" w:rsidRPr="00511A36">
        <w:t>affects tidal and coastal areas of the municipalities along the Long Island Sound, as well as heavily urbanized inland areas</w:t>
      </w:r>
      <w:r w:rsidR="00BF6B8D" w:rsidRPr="00511A36">
        <w:t>.</w:t>
      </w:r>
      <w:r w:rsidR="00BF6B8D">
        <w:t xml:space="preserve"> Other climate hazards, such as increased temperatures, droughts</w:t>
      </w:r>
      <w:r w:rsidR="00435B7C" w:rsidRPr="002508EE">
        <w:t>, and wildfires,</w:t>
      </w:r>
      <w:r w:rsidR="00BF6B8D">
        <w:t xml:space="preserve"> are also expected to intensify as the climate changes. </w:t>
      </w:r>
    </w:p>
    <w:sdt>
      <w:sdtPr>
        <w:rPr>
          <w:rFonts w:eastAsiaTheme="minorEastAsia" w:cstheme="minorBidi"/>
          <w:caps w:val="0"/>
          <w:szCs w:val="20"/>
        </w:rPr>
        <w:id w:val="-1161776227"/>
        <w:docPartObj>
          <w:docPartGallery w:val="Table of Contents"/>
          <w:docPartUnique/>
        </w:docPartObj>
      </w:sdtPr>
      <w:sdtEndPr>
        <w:rPr>
          <w:noProof/>
        </w:rPr>
      </w:sdtEndPr>
      <w:sdtContent>
        <w:p w14:paraId="6C6C3E87" w14:textId="77777777" w:rsidR="00162924" w:rsidRDefault="00162924" w:rsidP="008A1639">
          <w:pPr>
            <w:pStyle w:val="TOCHeading"/>
            <w:rPr>
              <w:rFonts w:eastAsiaTheme="minorEastAsia" w:cstheme="minorBidi"/>
              <w:caps w:val="0"/>
              <w:szCs w:val="20"/>
            </w:rPr>
            <w:sectPr w:rsidR="00162924" w:rsidSect="00693549">
              <w:footerReference w:type="even" r:id="rId15"/>
              <w:footerReference w:type="default" r:id="rId16"/>
              <w:pgSz w:w="12240" w:h="15840" w:code="1"/>
              <w:pgMar w:top="1440" w:right="1440" w:bottom="1440" w:left="1440" w:header="576" w:footer="585" w:gutter="0"/>
              <w:pgNumType w:fmt="lowerRoman" w:start="0"/>
              <w:cols w:space="360"/>
              <w:titlePg/>
              <w:docGrid w:linePitch="360"/>
            </w:sectPr>
          </w:pPr>
        </w:p>
        <w:p w14:paraId="65FF0FAF" w14:textId="3D1E935E" w:rsidR="008A1639" w:rsidRPr="00F97362" w:rsidRDefault="00F97362" w:rsidP="008A1639">
          <w:pPr>
            <w:pStyle w:val="TOCHeading"/>
            <w:rPr>
              <w:rFonts w:hint="eastAsia"/>
              <w:caps w:val="0"/>
              <w:color w:val="332F2E" w:themeColor="accent4"/>
              <w:sz w:val="40"/>
              <w:szCs w:val="40"/>
            </w:rPr>
          </w:pPr>
          <w:r w:rsidRPr="00F97362">
            <w:rPr>
              <w:caps w:val="0"/>
              <w:color w:val="332F2E" w:themeColor="accent4"/>
              <w:sz w:val="40"/>
              <w:szCs w:val="40"/>
            </w:rPr>
            <w:t>TABLE OF CONTENTS</w:t>
          </w:r>
        </w:p>
        <w:p w14:paraId="4F646B0B" w14:textId="3BB24098" w:rsidR="00283D08" w:rsidRDefault="004A36A8">
          <w:pPr>
            <w:pStyle w:val="TOC1"/>
            <w:rPr>
              <w:rFonts w:asciiTheme="minorHAnsi" w:hAnsiTheme="minorHAnsi" w:cstheme="minorBidi" w:hint="eastAsia"/>
              <w:b w:val="0"/>
              <w:caps w:val="0"/>
              <w:noProof/>
              <w:color w:val="auto"/>
              <w:kern w:val="2"/>
              <w:position w:val="0"/>
              <w:sz w:val="24"/>
              <w:lang w:eastAsia="en-US"/>
              <w14:ligatures w14:val="standardContextual"/>
            </w:rPr>
          </w:pPr>
          <w:r>
            <w:rPr>
              <w:b w:val="0"/>
              <w:sz w:val="24"/>
            </w:rPr>
            <w:fldChar w:fldCharType="begin"/>
          </w:r>
          <w:r>
            <w:rPr>
              <w:b w:val="0"/>
              <w:sz w:val="24"/>
            </w:rPr>
            <w:instrText xml:space="preserve"> TOC \o "1-3" \h \z \u </w:instrText>
          </w:r>
          <w:r>
            <w:rPr>
              <w:b w:val="0"/>
              <w:sz w:val="24"/>
            </w:rPr>
            <w:fldChar w:fldCharType="separate"/>
          </w:r>
          <w:hyperlink w:anchor="_Toc233228196" w:history="1">
            <w:r w:rsidR="00283D08" w:rsidRPr="00C452A2">
              <w:rPr>
                <w:rStyle w:val="Hyperlink"/>
                <w:noProof/>
              </w:rPr>
              <w:t>Executive Summary</w:t>
            </w:r>
            <w:r w:rsidR="00283D08">
              <w:rPr>
                <w:noProof/>
                <w:webHidden/>
              </w:rPr>
              <w:tab/>
            </w:r>
            <w:r w:rsidR="00283D08">
              <w:rPr>
                <w:noProof/>
                <w:webHidden/>
              </w:rPr>
              <w:fldChar w:fldCharType="begin"/>
            </w:r>
            <w:r w:rsidR="00283D08">
              <w:rPr>
                <w:noProof/>
                <w:webHidden/>
              </w:rPr>
              <w:instrText xml:space="preserve"> PAGEREF _Toc233228196 \h </w:instrText>
            </w:r>
            <w:r w:rsidR="00283D08">
              <w:rPr>
                <w:noProof/>
                <w:webHidden/>
              </w:rPr>
            </w:r>
            <w:r w:rsidR="00283D08">
              <w:rPr>
                <w:noProof/>
                <w:webHidden/>
              </w:rPr>
              <w:fldChar w:fldCharType="separate"/>
            </w:r>
            <w:r w:rsidR="00835544">
              <w:rPr>
                <w:noProof/>
                <w:webHidden/>
              </w:rPr>
              <w:t>i</w:t>
            </w:r>
            <w:r w:rsidR="00283D08">
              <w:rPr>
                <w:noProof/>
                <w:webHidden/>
              </w:rPr>
              <w:fldChar w:fldCharType="end"/>
            </w:r>
          </w:hyperlink>
        </w:p>
        <w:p w14:paraId="5A6B6DF8" w14:textId="64857569"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197" w:history="1">
            <w:r w:rsidRPr="00C452A2">
              <w:rPr>
                <w:rStyle w:val="Hyperlink"/>
                <w:noProof/>
              </w:rPr>
              <w:t>Introduction &amp; Purpose</w:t>
            </w:r>
            <w:r>
              <w:rPr>
                <w:noProof/>
                <w:webHidden/>
              </w:rPr>
              <w:tab/>
            </w:r>
            <w:r>
              <w:rPr>
                <w:noProof/>
                <w:webHidden/>
              </w:rPr>
              <w:fldChar w:fldCharType="begin"/>
            </w:r>
            <w:r>
              <w:rPr>
                <w:noProof/>
                <w:webHidden/>
              </w:rPr>
              <w:instrText xml:space="preserve"> PAGEREF _Toc233228197 \h </w:instrText>
            </w:r>
            <w:r>
              <w:rPr>
                <w:noProof/>
                <w:webHidden/>
              </w:rPr>
            </w:r>
            <w:r>
              <w:rPr>
                <w:noProof/>
                <w:webHidden/>
              </w:rPr>
              <w:fldChar w:fldCharType="separate"/>
            </w:r>
            <w:r w:rsidR="00835544">
              <w:rPr>
                <w:noProof/>
                <w:webHidden/>
              </w:rPr>
              <w:t>1</w:t>
            </w:r>
            <w:r>
              <w:rPr>
                <w:noProof/>
                <w:webHidden/>
              </w:rPr>
              <w:fldChar w:fldCharType="end"/>
            </w:r>
          </w:hyperlink>
        </w:p>
        <w:p w14:paraId="6666AF4A" w14:textId="222B07A2"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198" w:history="1">
            <w:r w:rsidRPr="00C452A2">
              <w:rPr>
                <w:rStyle w:val="Hyperlink"/>
                <w:noProof/>
              </w:rPr>
              <w:t>Regional Context</w:t>
            </w:r>
            <w:r>
              <w:rPr>
                <w:noProof/>
                <w:webHidden/>
              </w:rPr>
              <w:tab/>
            </w:r>
            <w:r>
              <w:rPr>
                <w:noProof/>
                <w:webHidden/>
              </w:rPr>
              <w:fldChar w:fldCharType="begin"/>
            </w:r>
            <w:r>
              <w:rPr>
                <w:noProof/>
                <w:webHidden/>
              </w:rPr>
              <w:instrText xml:space="preserve"> PAGEREF _Toc233228198 \h </w:instrText>
            </w:r>
            <w:r>
              <w:rPr>
                <w:noProof/>
                <w:webHidden/>
              </w:rPr>
            </w:r>
            <w:r>
              <w:rPr>
                <w:noProof/>
                <w:webHidden/>
              </w:rPr>
              <w:fldChar w:fldCharType="separate"/>
            </w:r>
            <w:r w:rsidR="00835544">
              <w:rPr>
                <w:noProof/>
                <w:webHidden/>
              </w:rPr>
              <w:t>2</w:t>
            </w:r>
            <w:r>
              <w:rPr>
                <w:noProof/>
                <w:webHidden/>
              </w:rPr>
              <w:fldChar w:fldCharType="end"/>
            </w:r>
          </w:hyperlink>
        </w:p>
        <w:p w14:paraId="0C5F8ED1" w14:textId="13AD0DBF"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199" w:history="1">
            <w:r w:rsidRPr="00C452A2">
              <w:rPr>
                <w:rStyle w:val="Hyperlink"/>
                <w:noProof/>
              </w:rPr>
              <w:t>Hazard Analysis Overview</w:t>
            </w:r>
            <w:r>
              <w:rPr>
                <w:noProof/>
                <w:webHidden/>
              </w:rPr>
              <w:tab/>
            </w:r>
            <w:r>
              <w:rPr>
                <w:noProof/>
                <w:webHidden/>
              </w:rPr>
              <w:fldChar w:fldCharType="begin"/>
            </w:r>
            <w:r>
              <w:rPr>
                <w:noProof/>
                <w:webHidden/>
              </w:rPr>
              <w:instrText xml:space="preserve"> PAGEREF _Toc233228199 \h </w:instrText>
            </w:r>
            <w:r>
              <w:rPr>
                <w:noProof/>
                <w:webHidden/>
              </w:rPr>
            </w:r>
            <w:r>
              <w:rPr>
                <w:noProof/>
                <w:webHidden/>
              </w:rPr>
              <w:fldChar w:fldCharType="separate"/>
            </w:r>
            <w:r w:rsidR="00835544">
              <w:rPr>
                <w:noProof/>
                <w:webHidden/>
              </w:rPr>
              <w:t>5</w:t>
            </w:r>
            <w:r>
              <w:rPr>
                <w:noProof/>
                <w:webHidden/>
              </w:rPr>
              <w:fldChar w:fldCharType="end"/>
            </w:r>
          </w:hyperlink>
        </w:p>
        <w:p w14:paraId="48F68EBD" w14:textId="2E76E753"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00" w:history="1">
            <w:r w:rsidRPr="00C452A2">
              <w:rPr>
                <w:rStyle w:val="Hyperlink"/>
                <w:noProof/>
              </w:rPr>
              <w:t>Hazard Interactions and  Compounding Risks</w:t>
            </w:r>
            <w:r>
              <w:rPr>
                <w:noProof/>
                <w:webHidden/>
              </w:rPr>
              <w:tab/>
            </w:r>
            <w:r>
              <w:rPr>
                <w:noProof/>
                <w:webHidden/>
              </w:rPr>
              <w:fldChar w:fldCharType="begin"/>
            </w:r>
            <w:r>
              <w:rPr>
                <w:noProof/>
                <w:webHidden/>
              </w:rPr>
              <w:instrText xml:space="preserve"> PAGEREF _Toc233228200 \h </w:instrText>
            </w:r>
            <w:r>
              <w:rPr>
                <w:noProof/>
                <w:webHidden/>
              </w:rPr>
            </w:r>
            <w:r>
              <w:rPr>
                <w:noProof/>
                <w:webHidden/>
              </w:rPr>
              <w:fldChar w:fldCharType="separate"/>
            </w:r>
            <w:r w:rsidR="00835544">
              <w:rPr>
                <w:noProof/>
                <w:webHidden/>
              </w:rPr>
              <w:t>7</w:t>
            </w:r>
            <w:r>
              <w:rPr>
                <w:noProof/>
                <w:webHidden/>
              </w:rPr>
              <w:fldChar w:fldCharType="end"/>
            </w:r>
          </w:hyperlink>
        </w:p>
        <w:p w14:paraId="35CEC5F2" w14:textId="53025823" w:rsidR="00283D08" w:rsidRDefault="00283D08">
          <w:pPr>
            <w:pStyle w:val="TOC2"/>
            <w:rPr>
              <w:rFonts w:cstheme="minorBidi" w:hint="eastAsia"/>
              <w:b w:val="0"/>
              <w:noProof/>
              <w:color w:val="auto"/>
              <w:kern w:val="2"/>
              <w:sz w:val="24"/>
              <w:szCs w:val="24"/>
              <w:lang w:eastAsia="en-US"/>
              <w14:ligatures w14:val="standardContextual"/>
            </w:rPr>
          </w:pPr>
          <w:hyperlink w:anchor="_Toc233228201" w:history="1">
            <w:r w:rsidRPr="00C452A2">
              <w:rPr>
                <w:rStyle w:val="Hyperlink"/>
                <w:noProof/>
              </w:rPr>
              <w:t>Extreme Storms</w:t>
            </w:r>
            <w:r>
              <w:rPr>
                <w:noProof/>
                <w:webHidden/>
              </w:rPr>
              <w:tab/>
            </w:r>
            <w:r>
              <w:rPr>
                <w:noProof/>
                <w:webHidden/>
              </w:rPr>
              <w:fldChar w:fldCharType="begin"/>
            </w:r>
            <w:r>
              <w:rPr>
                <w:noProof/>
                <w:webHidden/>
              </w:rPr>
              <w:instrText xml:space="preserve"> PAGEREF _Toc233228201 \h </w:instrText>
            </w:r>
            <w:r>
              <w:rPr>
                <w:noProof/>
                <w:webHidden/>
              </w:rPr>
            </w:r>
            <w:r>
              <w:rPr>
                <w:noProof/>
                <w:webHidden/>
              </w:rPr>
              <w:fldChar w:fldCharType="separate"/>
            </w:r>
            <w:r w:rsidR="00835544">
              <w:rPr>
                <w:noProof/>
                <w:webHidden/>
              </w:rPr>
              <w:t>7</w:t>
            </w:r>
            <w:r>
              <w:rPr>
                <w:noProof/>
                <w:webHidden/>
              </w:rPr>
              <w:fldChar w:fldCharType="end"/>
            </w:r>
          </w:hyperlink>
        </w:p>
        <w:p w14:paraId="588CB439" w14:textId="08489D29" w:rsidR="00283D08" w:rsidRDefault="00283D08">
          <w:pPr>
            <w:pStyle w:val="TOC3"/>
            <w:rPr>
              <w:rFonts w:cstheme="minorBidi" w:hint="eastAsia"/>
              <w:i w:val="0"/>
              <w:noProof/>
              <w:color w:val="auto"/>
              <w:kern w:val="2"/>
              <w:sz w:val="24"/>
              <w:szCs w:val="24"/>
              <w:lang w:eastAsia="en-US"/>
              <w14:ligatures w14:val="standardContextual"/>
            </w:rPr>
          </w:pPr>
          <w:hyperlink w:anchor="_Toc233228202" w:history="1">
            <w:r w:rsidRPr="00C452A2">
              <w:rPr>
                <w:rStyle w:val="Hyperlink"/>
                <w:noProof/>
              </w:rPr>
              <w:t>Tropical Cyclones</w:t>
            </w:r>
            <w:r>
              <w:rPr>
                <w:noProof/>
                <w:webHidden/>
              </w:rPr>
              <w:tab/>
            </w:r>
            <w:r>
              <w:rPr>
                <w:noProof/>
                <w:webHidden/>
              </w:rPr>
              <w:fldChar w:fldCharType="begin"/>
            </w:r>
            <w:r>
              <w:rPr>
                <w:noProof/>
                <w:webHidden/>
              </w:rPr>
              <w:instrText xml:space="preserve"> PAGEREF _Toc233228202 \h </w:instrText>
            </w:r>
            <w:r>
              <w:rPr>
                <w:noProof/>
                <w:webHidden/>
              </w:rPr>
            </w:r>
            <w:r>
              <w:rPr>
                <w:noProof/>
                <w:webHidden/>
              </w:rPr>
              <w:fldChar w:fldCharType="separate"/>
            </w:r>
            <w:r w:rsidR="00835544">
              <w:rPr>
                <w:noProof/>
                <w:webHidden/>
              </w:rPr>
              <w:t>8</w:t>
            </w:r>
            <w:r>
              <w:rPr>
                <w:noProof/>
                <w:webHidden/>
              </w:rPr>
              <w:fldChar w:fldCharType="end"/>
            </w:r>
          </w:hyperlink>
        </w:p>
        <w:p w14:paraId="28EACA59" w14:textId="37F3EDFF" w:rsidR="00283D08" w:rsidRDefault="00283D08">
          <w:pPr>
            <w:pStyle w:val="TOC3"/>
            <w:rPr>
              <w:rFonts w:cstheme="minorBidi" w:hint="eastAsia"/>
              <w:i w:val="0"/>
              <w:noProof/>
              <w:color w:val="auto"/>
              <w:kern w:val="2"/>
              <w:sz w:val="24"/>
              <w:szCs w:val="24"/>
              <w:lang w:eastAsia="en-US"/>
              <w14:ligatures w14:val="standardContextual"/>
            </w:rPr>
          </w:pPr>
          <w:hyperlink w:anchor="_Toc233228203" w:history="1">
            <w:r w:rsidRPr="00C452A2">
              <w:rPr>
                <w:rStyle w:val="Hyperlink"/>
                <w:noProof/>
              </w:rPr>
              <w:t>Mid-Latitude Cyclones</w:t>
            </w:r>
            <w:r>
              <w:rPr>
                <w:noProof/>
                <w:webHidden/>
              </w:rPr>
              <w:tab/>
            </w:r>
            <w:r>
              <w:rPr>
                <w:noProof/>
                <w:webHidden/>
              </w:rPr>
              <w:fldChar w:fldCharType="begin"/>
            </w:r>
            <w:r>
              <w:rPr>
                <w:noProof/>
                <w:webHidden/>
              </w:rPr>
              <w:instrText xml:space="preserve"> PAGEREF _Toc233228203 \h </w:instrText>
            </w:r>
            <w:r>
              <w:rPr>
                <w:noProof/>
                <w:webHidden/>
              </w:rPr>
            </w:r>
            <w:r>
              <w:rPr>
                <w:noProof/>
                <w:webHidden/>
              </w:rPr>
              <w:fldChar w:fldCharType="separate"/>
            </w:r>
            <w:r w:rsidR="00835544">
              <w:rPr>
                <w:noProof/>
                <w:webHidden/>
              </w:rPr>
              <w:t>8</w:t>
            </w:r>
            <w:r>
              <w:rPr>
                <w:noProof/>
                <w:webHidden/>
              </w:rPr>
              <w:fldChar w:fldCharType="end"/>
            </w:r>
          </w:hyperlink>
        </w:p>
        <w:p w14:paraId="5261716D" w14:textId="08B1FB64" w:rsidR="00283D08" w:rsidRDefault="00283D08">
          <w:pPr>
            <w:pStyle w:val="TOC3"/>
            <w:rPr>
              <w:rFonts w:cstheme="minorBidi" w:hint="eastAsia"/>
              <w:i w:val="0"/>
              <w:noProof/>
              <w:color w:val="auto"/>
              <w:kern w:val="2"/>
              <w:sz w:val="24"/>
              <w:szCs w:val="24"/>
              <w:lang w:eastAsia="en-US"/>
              <w14:ligatures w14:val="standardContextual"/>
            </w:rPr>
          </w:pPr>
          <w:hyperlink w:anchor="_Toc233228204" w:history="1">
            <w:r w:rsidRPr="00C452A2">
              <w:rPr>
                <w:rStyle w:val="Hyperlink"/>
                <w:noProof/>
              </w:rPr>
              <w:t>Severe Thunderstorms</w:t>
            </w:r>
            <w:r>
              <w:rPr>
                <w:noProof/>
                <w:webHidden/>
              </w:rPr>
              <w:tab/>
            </w:r>
            <w:r>
              <w:rPr>
                <w:noProof/>
                <w:webHidden/>
              </w:rPr>
              <w:fldChar w:fldCharType="begin"/>
            </w:r>
            <w:r>
              <w:rPr>
                <w:noProof/>
                <w:webHidden/>
              </w:rPr>
              <w:instrText xml:space="preserve"> PAGEREF _Toc233228204 \h </w:instrText>
            </w:r>
            <w:r>
              <w:rPr>
                <w:noProof/>
                <w:webHidden/>
              </w:rPr>
            </w:r>
            <w:r>
              <w:rPr>
                <w:noProof/>
                <w:webHidden/>
              </w:rPr>
              <w:fldChar w:fldCharType="separate"/>
            </w:r>
            <w:r w:rsidR="00835544">
              <w:rPr>
                <w:noProof/>
                <w:webHidden/>
              </w:rPr>
              <w:t>8</w:t>
            </w:r>
            <w:r>
              <w:rPr>
                <w:noProof/>
                <w:webHidden/>
              </w:rPr>
              <w:fldChar w:fldCharType="end"/>
            </w:r>
          </w:hyperlink>
        </w:p>
        <w:p w14:paraId="7F494C2B" w14:textId="204E34AB" w:rsidR="00283D08" w:rsidRDefault="00283D08">
          <w:pPr>
            <w:pStyle w:val="TOC2"/>
            <w:rPr>
              <w:rFonts w:cstheme="minorBidi" w:hint="eastAsia"/>
              <w:b w:val="0"/>
              <w:noProof/>
              <w:color w:val="auto"/>
              <w:kern w:val="2"/>
              <w:sz w:val="24"/>
              <w:szCs w:val="24"/>
              <w:lang w:eastAsia="en-US"/>
              <w14:ligatures w14:val="standardContextual"/>
            </w:rPr>
          </w:pPr>
          <w:hyperlink w:anchor="_Toc233228205" w:history="1">
            <w:r w:rsidRPr="00C452A2">
              <w:rPr>
                <w:rStyle w:val="Hyperlink"/>
                <w:noProof/>
              </w:rPr>
              <w:t>High Winds</w:t>
            </w:r>
            <w:r>
              <w:rPr>
                <w:noProof/>
                <w:webHidden/>
              </w:rPr>
              <w:tab/>
            </w:r>
            <w:r>
              <w:rPr>
                <w:noProof/>
                <w:webHidden/>
              </w:rPr>
              <w:fldChar w:fldCharType="begin"/>
            </w:r>
            <w:r>
              <w:rPr>
                <w:noProof/>
                <w:webHidden/>
              </w:rPr>
              <w:instrText xml:space="preserve"> PAGEREF _Toc233228205 \h </w:instrText>
            </w:r>
            <w:r>
              <w:rPr>
                <w:noProof/>
                <w:webHidden/>
              </w:rPr>
            </w:r>
            <w:r>
              <w:rPr>
                <w:noProof/>
                <w:webHidden/>
              </w:rPr>
              <w:fldChar w:fldCharType="separate"/>
            </w:r>
            <w:r w:rsidR="00835544">
              <w:rPr>
                <w:noProof/>
                <w:webHidden/>
              </w:rPr>
              <w:t>9</w:t>
            </w:r>
            <w:r>
              <w:rPr>
                <w:noProof/>
                <w:webHidden/>
              </w:rPr>
              <w:fldChar w:fldCharType="end"/>
            </w:r>
          </w:hyperlink>
        </w:p>
        <w:p w14:paraId="39FC0B34" w14:textId="70677C34" w:rsidR="00283D08" w:rsidRDefault="00283D08">
          <w:pPr>
            <w:pStyle w:val="TOC2"/>
            <w:rPr>
              <w:rFonts w:cstheme="minorBidi" w:hint="eastAsia"/>
              <w:b w:val="0"/>
              <w:noProof/>
              <w:color w:val="auto"/>
              <w:kern w:val="2"/>
              <w:sz w:val="24"/>
              <w:szCs w:val="24"/>
              <w:lang w:eastAsia="en-US"/>
              <w14:ligatures w14:val="standardContextual"/>
            </w:rPr>
          </w:pPr>
          <w:hyperlink w:anchor="_Toc233228206" w:history="1">
            <w:r w:rsidRPr="00C452A2">
              <w:rPr>
                <w:rStyle w:val="Hyperlink"/>
                <w:noProof/>
              </w:rPr>
              <w:t>Key Planning Information for Extreme Storms</w:t>
            </w:r>
            <w:r>
              <w:rPr>
                <w:noProof/>
                <w:webHidden/>
              </w:rPr>
              <w:tab/>
            </w:r>
            <w:r>
              <w:rPr>
                <w:noProof/>
                <w:webHidden/>
              </w:rPr>
              <w:fldChar w:fldCharType="begin"/>
            </w:r>
            <w:r>
              <w:rPr>
                <w:noProof/>
                <w:webHidden/>
              </w:rPr>
              <w:instrText xml:space="preserve"> PAGEREF _Toc233228206 \h </w:instrText>
            </w:r>
            <w:r>
              <w:rPr>
                <w:noProof/>
                <w:webHidden/>
              </w:rPr>
            </w:r>
            <w:r>
              <w:rPr>
                <w:noProof/>
                <w:webHidden/>
              </w:rPr>
              <w:fldChar w:fldCharType="separate"/>
            </w:r>
            <w:r w:rsidR="00835544">
              <w:rPr>
                <w:noProof/>
                <w:webHidden/>
              </w:rPr>
              <w:t>10</w:t>
            </w:r>
            <w:r>
              <w:rPr>
                <w:noProof/>
                <w:webHidden/>
              </w:rPr>
              <w:fldChar w:fldCharType="end"/>
            </w:r>
          </w:hyperlink>
        </w:p>
        <w:p w14:paraId="15468DDB" w14:textId="0AA3B2D8" w:rsidR="00283D08" w:rsidRDefault="00283D08">
          <w:pPr>
            <w:pStyle w:val="TOC2"/>
            <w:rPr>
              <w:rFonts w:cstheme="minorBidi" w:hint="eastAsia"/>
              <w:b w:val="0"/>
              <w:noProof/>
              <w:color w:val="auto"/>
              <w:kern w:val="2"/>
              <w:sz w:val="24"/>
              <w:szCs w:val="24"/>
              <w:lang w:eastAsia="en-US"/>
              <w14:ligatures w14:val="standardContextual"/>
            </w:rPr>
          </w:pPr>
          <w:hyperlink w:anchor="_Toc233228207" w:history="1">
            <w:r w:rsidRPr="00C452A2">
              <w:rPr>
                <w:rStyle w:val="Hyperlink"/>
                <w:noProof/>
              </w:rPr>
              <w:t>Identified Best Practices Related to Extreme Storms</w:t>
            </w:r>
            <w:r>
              <w:rPr>
                <w:noProof/>
                <w:webHidden/>
              </w:rPr>
              <w:tab/>
            </w:r>
            <w:r>
              <w:rPr>
                <w:noProof/>
                <w:webHidden/>
              </w:rPr>
              <w:fldChar w:fldCharType="begin"/>
            </w:r>
            <w:r>
              <w:rPr>
                <w:noProof/>
                <w:webHidden/>
              </w:rPr>
              <w:instrText xml:space="preserve"> PAGEREF _Toc233228207 \h </w:instrText>
            </w:r>
            <w:r>
              <w:rPr>
                <w:noProof/>
                <w:webHidden/>
              </w:rPr>
            </w:r>
            <w:r>
              <w:rPr>
                <w:noProof/>
                <w:webHidden/>
              </w:rPr>
              <w:fldChar w:fldCharType="separate"/>
            </w:r>
            <w:r w:rsidR="00835544">
              <w:rPr>
                <w:noProof/>
                <w:webHidden/>
              </w:rPr>
              <w:t>10</w:t>
            </w:r>
            <w:r>
              <w:rPr>
                <w:noProof/>
                <w:webHidden/>
              </w:rPr>
              <w:fldChar w:fldCharType="end"/>
            </w:r>
          </w:hyperlink>
        </w:p>
        <w:p w14:paraId="4EBCB45E" w14:textId="5A97FCFC"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08" w:history="1">
            <w:r w:rsidRPr="00C452A2">
              <w:rPr>
                <w:rStyle w:val="Hyperlink"/>
                <w:noProof/>
              </w:rPr>
              <w:t>Flooding &amp; Stormwater</w:t>
            </w:r>
            <w:r>
              <w:rPr>
                <w:noProof/>
                <w:webHidden/>
              </w:rPr>
              <w:tab/>
            </w:r>
            <w:r>
              <w:rPr>
                <w:noProof/>
                <w:webHidden/>
              </w:rPr>
              <w:fldChar w:fldCharType="begin"/>
            </w:r>
            <w:r>
              <w:rPr>
                <w:noProof/>
                <w:webHidden/>
              </w:rPr>
              <w:instrText xml:space="preserve"> PAGEREF _Toc233228208 \h </w:instrText>
            </w:r>
            <w:r>
              <w:rPr>
                <w:noProof/>
                <w:webHidden/>
              </w:rPr>
            </w:r>
            <w:r>
              <w:rPr>
                <w:noProof/>
                <w:webHidden/>
              </w:rPr>
              <w:fldChar w:fldCharType="separate"/>
            </w:r>
            <w:r w:rsidR="00835544">
              <w:rPr>
                <w:noProof/>
                <w:webHidden/>
              </w:rPr>
              <w:t>11</w:t>
            </w:r>
            <w:r>
              <w:rPr>
                <w:noProof/>
                <w:webHidden/>
              </w:rPr>
              <w:fldChar w:fldCharType="end"/>
            </w:r>
          </w:hyperlink>
        </w:p>
        <w:p w14:paraId="386061A0" w14:textId="752FD32D" w:rsidR="00283D08" w:rsidRDefault="00283D08">
          <w:pPr>
            <w:pStyle w:val="TOC2"/>
            <w:rPr>
              <w:rFonts w:cstheme="minorBidi" w:hint="eastAsia"/>
              <w:b w:val="0"/>
              <w:noProof/>
              <w:color w:val="auto"/>
              <w:kern w:val="2"/>
              <w:sz w:val="24"/>
              <w:szCs w:val="24"/>
              <w:lang w:eastAsia="en-US"/>
              <w14:ligatures w14:val="standardContextual"/>
            </w:rPr>
          </w:pPr>
          <w:hyperlink w:anchor="_Toc233228209" w:history="1">
            <w:r w:rsidRPr="00C452A2">
              <w:rPr>
                <w:rStyle w:val="Hyperlink"/>
                <w:noProof/>
              </w:rPr>
              <w:t>Understanding Regional Vulnerability to Flooding</w:t>
            </w:r>
            <w:r>
              <w:rPr>
                <w:noProof/>
                <w:webHidden/>
              </w:rPr>
              <w:tab/>
            </w:r>
            <w:r>
              <w:rPr>
                <w:noProof/>
                <w:webHidden/>
              </w:rPr>
              <w:fldChar w:fldCharType="begin"/>
            </w:r>
            <w:r>
              <w:rPr>
                <w:noProof/>
                <w:webHidden/>
              </w:rPr>
              <w:instrText xml:space="preserve"> PAGEREF _Toc233228209 \h </w:instrText>
            </w:r>
            <w:r>
              <w:rPr>
                <w:noProof/>
                <w:webHidden/>
              </w:rPr>
            </w:r>
            <w:r>
              <w:rPr>
                <w:noProof/>
                <w:webHidden/>
              </w:rPr>
              <w:fldChar w:fldCharType="separate"/>
            </w:r>
            <w:r w:rsidR="00835544">
              <w:rPr>
                <w:noProof/>
                <w:webHidden/>
              </w:rPr>
              <w:t>12</w:t>
            </w:r>
            <w:r>
              <w:rPr>
                <w:noProof/>
                <w:webHidden/>
              </w:rPr>
              <w:fldChar w:fldCharType="end"/>
            </w:r>
          </w:hyperlink>
        </w:p>
        <w:p w14:paraId="648E0B0B" w14:textId="38CC9A3E" w:rsidR="00283D08" w:rsidRDefault="00283D08">
          <w:pPr>
            <w:pStyle w:val="TOC2"/>
            <w:rPr>
              <w:rFonts w:cstheme="minorBidi" w:hint="eastAsia"/>
              <w:b w:val="0"/>
              <w:noProof/>
              <w:color w:val="auto"/>
              <w:kern w:val="2"/>
              <w:sz w:val="24"/>
              <w:szCs w:val="24"/>
              <w:lang w:eastAsia="en-US"/>
              <w14:ligatures w14:val="standardContextual"/>
            </w:rPr>
          </w:pPr>
          <w:hyperlink w:anchor="_Toc233228210" w:history="1">
            <w:r w:rsidRPr="00C452A2">
              <w:rPr>
                <w:rStyle w:val="Hyperlink"/>
                <w:noProof/>
              </w:rPr>
              <w:t>Rainfall (Pluvial) Flooding</w:t>
            </w:r>
            <w:r>
              <w:rPr>
                <w:noProof/>
                <w:webHidden/>
              </w:rPr>
              <w:tab/>
            </w:r>
            <w:r>
              <w:rPr>
                <w:noProof/>
                <w:webHidden/>
              </w:rPr>
              <w:fldChar w:fldCharType="begin"/>
            </w:r>
            <w:r>
              <w:rPr>
                <w:noProof/>
                <w:webHidden/>
              </w:rPr>
              <w:instrText xml:space="preserve"> PAGEREF _Toc233228210 \h </w:instrText>
            </w:r>
            <w:r>
              <w:rPr>
                <w:noProof/>
                <w:webHidden/>
              </w:rPr>
            </w:r>
            <w:r>
              <w:rPr>
                <w:noProof/>
                <w:webHidden/>
              </w:rPr>
              <w:fldChar w:fldCharType="separate"/>
            </w:r>
            <w:r w:rsidR="00835544">
              <w:rPr>
                <w:noProof/>
                <w:webHidden/>
              </w:rPr>
              <w:t>12</w:t>
            </w:r>
            <w:r>
              <w:rPr>
                <w:noProof/>
                <w:webHidden/>
              </w:rPr>
              <w:fldChar w:fldCharType="end"/>
            </w:r>
          </w:hyperlink>
        </w:p>
        <w:p w14:paraId="384A8F9F" w14:textId="3684C8D1" w:rsidR="00283D08" w:rsidRDefault="00283D08">
          <w:pPr>
            <w:pStyle w:val="TOC3"/>
            <w:rPr>
              <w:rFonts w:cstheme="minorBidi" w:hint="eastAsia"/>
              <w:i w:val="0"/>
              <w:noProof/>
              <w:color w:val="auto"/>
              <w:kern w:val="2"/>
              <w:sz w:val="24"/>
              <w:szCs w:val="24"/>
              <w:lang w:eastAsia="en-US"/>
              <w14:ligatures w14:val="standardContextual"/>
            </w:rPr>
          </w:pPr>
          <w:hyperlink w:anchor="_Toc233228211" w:history="1">
            <w:r w:rsidRPr="00C452A2">
              <w:rPr>
                <w:rStyle w:val="Hyperlink"/>
                <w:noProof/>
              </w:rPr>
              <w:t>Precipitation Trends</w:t>
            </w:r>
            <w:r>
              <w:rPr>
                <w:noProof/>
                <w:webHidden/>
              </w:rPr>
              <w:tab/>
            </w:r>
            <w:r>
              <w:rPr>
                <w:noProof/>
                <w:webHidden/>
              </w:rPr>
              <w:fldChar w:fldCharType="begin"/>
            </w:r>
            <w:r>
              <w:rPr>
                <w:noProof/>
                <w:webHidden/>
              </w:rPr>
              <w:instrText xml:space="preserve"> PAGEREF _Toc233228211 \h </w:instrText>
            </w:r>
            <w:r>
              <w:rPr>
                <w:noProof/>
                <w:webHidden/>
              </w:rPr>
            </w:r>
            <w:r>
              <w:rPr>
                <w:noProof/>
                <w:webHidden/>
              </w:rPr>
              <w:fldChar w:fldCharType="separate"/>
            </w:r>
            <w:r w:rsidR="00835544">
              <w:rPr>
                <w:noProof/>
                <w:webHidden/>
              </w:rPr>
              <w:t>12</w:t>
            </w:r>
            <w:r>
              <w:rPr>
                <w:noProof/>
                <w:webHidden/>
              </w:rPr>
              <w:fldChar w:fldCharType="end"/>
            </w:r>
          </w:hyperlink>
        </w:p>
        <w:p w14:paraId="1F748C73" w14:textId="23647F43" w:rsidR="00283D08" w:rsidRDefault="00283D08">
          <w:pPr>
            <w:pStyle w:val="TOC3"/>
            <w:rPr>
              <w:rFonts w:cstheme="minorBidi" w:hint="eastAsia"/>
              <w:i w:val="0"/>
              <w:noProof/>
              <w:color w:val="auto"/>
              <w:kern w:val="2"/>
              <w:sz w:val="24"/>
              <w:szCs w:val="24"/>
              <w:lang w:eastAsia="en-US"/>
              <w14:ligatures w14:val="standardContextual"/>
            </w:rPr>
          </w:pPr>
          <w:hyperlink w:anchor="_Toc233228212" w:history="1">
            <w:r w:rsidRPr="00C452A2">
              <w:rPr>
                <w:rStyle w:val="Hyperlink"/>
                <w:noProof/>
              </w:rPr>
              <w:t>Stormwater Infrastructure Design and Performance</w:t>
            </w:r>
            <w:r>
              <w:rPr>
                <w:noProof/>
                <w:webHidden/>
              </w:rPr>
              <w:tab/>
            </w:r>
            <w:r>
              <w:rPr>
                <w:noProof/>
                <w:webHidden/>
              </w:rPr>
              <w:fldChar w:fldCharType="begin"/>
            </w:r>
            <w:r>
              <w:rPr>
                <w:noProof/>
                <w:webHidden/>
              </w:rPr>
              <w:instrText xml:space="preserve"> PAGEREF _Toc233228212 \h </w:instrText>
            </w:r>
            <w:r>
              <w:rPr>
                <w:noProof/>
                <w:webHidden/>
              </w:rPr>
            </w:r>
            <w:r>
              <w:rPr>
                <w:noProof/>
                <w:webHidden/>
              </w:rPr>
              <w:fldChar w:fldCharType="separate"/>
            </w:r>
            <w:r w:rsidR="00835544">
              <w:rPr>
                <w:noProof/>
                <w:webHidden/>
              </w:rPr>
              <w:t>14</w:t>
            </w:r>
            <w:r>
              <w:rPr>
                <w:noProof/>
                <w:webHidden/>
              </w:rPr>
              <w:fldChar w:fldCharType="end"/>
            </w:r>
          </w:hyperlink>
        </w:p>
        <w:p w14:paraId="553CC868" w14:textId="2C68191A" w:rsidR="00283D08" w:rsidRDefault="00283D08">
          <w:pPr>
            <w:pStyle w:val="TOC3"/>
            <w:rPr>
              <w:rFonts w:cstheme="minorBidi" w:hint="eastAsia"/>
              <w:i w:val="0"/>
              <w:noProof/>
              <w:color w:val="auto"/>
              <w:kern w:val="2"/>
              <w:sz w:val="24"/>
              <w:szCs w:val="24"/>
              <w:lang w:eastAsia="en-US"/>
              <w14:ligatures w14:val="standardContextual"/>
            </w:rPr>
          </w:pPr>
          <w:hyperlink w:anchor="_Toc233228213" w:history="1">
            <w:r w:rsidRPr="00C452A2">
              <w:rPr>
                <w:rStyle w:val="Hyperlink"/>
                <w:noProof/>
              </w:rPr>
              <w:t>Rising Groundwater Levels</w:t>
            </w:r>
            <w:r>
              <w:rPr>
                <w:noProof/>
                <w:webHidden/>
              </w:rPr>
              <w:tab/>
            </w:r>
            <w:r>
              <w:rPr>
                <w:noProof/>
                <w:webHidden/>
              </w:rPr>
              <w:fldChar w:fldCharType="begin"/>
            </w:r>
            <w:r>
              <w:rPr>
                <w:noProof/>
                <w:webHidden/>
              </w:rPr>
              <w:instrText xml:space="preserve"> PAGEREF _Toc233228213 \h </w:instrText>
            </w:r>
            <w:r>
              <w:rPr>
                <w:noProof/>
                <w:webHidden/>
              </w:rPr>
            </w:r>
            <w:r>
              <w:rPr>
                <w:noProof/>
                <w:webHidden/>
              </w:rPr>
              <w:fldChar w:fldCharType="separate"/>
            </w:r>
            <w:r w:rsidR="00835544">
              <w:rPr>
                <w:noProof/>
                <w:webHidden/>
              </w:rPr>
              <w:t>14</w:t>
            </w:r>
            <w:r>
              <w:rPr>
                <w:noProof/>
                <w:webHidden/>
              </w:rPr>
              <w:fldChar w:fldCharType="end"/>
            </w:r>
          </w:hyperlink>
        </w:p>
        <w:p w14:paraId="17E11334" w14:textId="3DF72837" w:rsidR="00283D08" w:rsidRDefault="00283D08">
          <w:pPr>
            <w:pStyle w:val="TOC2"/>
            <w:rPr>
              <w:rFonts w:cstheme="minorBidi" w:hint="eastAsia"/>
              <w:b w:val="0"/>
              <w:noProof/>
              <w:color w:val="auto"/>
              <w:kern w:val="2"/>
              <w:sz w:val="24"/>
              <w:szCs w:val="24"/>
              <w:lang w:eastAsia="en-US"/>
              <w14:ligatures w14:val="standardContextual"/>
            </w:rPr>
          </w:pPr>
          <w:hyperlink w:anchor="_Toc233228214" w:history="1">
            <w:r w:rsidRPr="00C452A2">
              <w:rPr>
                <w:rStyle w:val="Hyperlink"/>
                <w:noProof/>
              </w:rPr>
              <w:t>What’s the connection between groundwater levels and land subsidence?</w:t>
            </w:r>
            <w:r>
              <w:rPr>
                <w:noProof/>
                <w:webHidden/>
              </w:rPr>
              <w:tab/>
            </w:r>
            <w:r>
              <w:rPr>
                <w:noProof/>
                <w:webHidden/>
              </w:rPr>
              <w:fldChar w:fldCharType="begin"/>
            </w:r>
            <w:r>
              <w:rPr>
                <w:noProof/>
                <w:webHidden/>
              </w:rPr>
              <w:instrText xml:space="preserve"> PAGEREF _Toc233228214 \h </w:instrText>
            </w:r>
            <w:r>
              <w:rPr>
                <w:noProof/>
                <w:webHidden/>
              </w:rPr>
            </w:r>
            <w:r>
              <w:rPr>
                <w:noProof/>
                <w:webHidden/>
              </w:rPr>
              <w:fldChar w:fldCharType="separate"/>
            </w:r>
            <w:r w:rsidR="00835544">
              <w:rPr>
                <w:noProof/>
                <w:webHidden/>
              </w:rPr>
              <w:t>14</w:t>
            </w:r>
            <w:r>
              <w:rPr>
                <w:noProof/>
                <w:webHidden/>
              </w:rPr>
              <w:fldChar w:fldCharType="end"/>
            </w:r>
          </w:hyperlink>
        </w:p>
        <w:p w14:paraId="30AA6811" w14:textId="5A286AB3" w:rsidR="00283D08" w:rsidRDefault="00283D08">
          <w:pPr>
            <w:pStyle w:val="TOC3"/>
            <w:rPr>
              <w:rFonts w:cstheme="minorBidi" w:hint="eastAsia"/>
              <w:i w:val="0"/>
              <w:noProof/>
              <w:color w:val="auto"/>
              <w:kern w:val="2"/>
              <w:sz w:val="24"/>
              <w:szCs w:val="24"/>
              <w:lang w:eastAsia="en-US"/>
              <w14:ligatures w14:val="standardContextual"/>
            </w:rPr>
          </w:pPr>
          <w:hyperlink w:anchor="_Toc233228215" w:history="1">
            <w:r w:rsidRPr="00C452A2">
              <w:rPr>
                <w:rStyle w:val="Hyperlink"/>
                <w:noProof/>
              </w:rPr>
              <w:t>Key Planning Information for Rainfall Flooding</w:t>
            </w:r>
            <w:r>
              <w:rPr>
                <w:noProof/>
                <w:webHidden/>
              </w:rPr>
              <w:tab/>
            </w:r>
            <w:r>
              <w:rPr>
                <w:noProof/>
                <w:webHidden/>
              </w:rPr>
              <w:fldChar w:fldCharType="begin"/>
            </w:r>
            <w:r>
              <w:rPr>
                <w:noProof/>
                <w:webHidden/>
              </w:rPr>
              <w:instrText xml:space="preserve"> PAGEREF _Toc233228215 \h </w:instrText>
            </w:r>
            <w:r>
              <w:rPr>
                <w:noProof/>
                <w:webHidden/>
              </w:rPr>
            </w:r>
            <w:r>
              <w:rPr>
                <w:noProof/>
                <w:webHidden/>
              </w:rPr>
              <w:fldChar w:fldCharType="separate"/>
            </w:r>
            <w:r w:rsidR="00835544">
              <w:rPr>
                <w:noProof/>
                <w:webHidden/>
              </w:rPr>
              <w:t>15</w:t>
            </w:r>
            <w:r>
              <w:rPr>
                <w:noProof/>
                <w:webHidden/>
              </w:rPr>
              <w:fldChar w:fldCharType="end"/>
            </w:r>
          </w:hyperlink>
        </w:p>
        <w:p w14:paraId="1467142B" w14:textId="0A3517A3" w:rsidR="00283D08" w:rsidRDefault="00283D08">
          <w:pPr>
            <w:pStyle w:val="TOC3"/>
            <w:rPr>
              <w:rFonts w:cstheme="minorBidi" w:hint="eastAsia"/>
              <w:i w:val="0"/>
              <w:noProof/>
              <w:color w:val="auto"/>
              <w:kern w:val="2"/>
              <w:sz w:val="24"/>
              <w:szCs w:val="24"/>
              <w:lang w:eastAsia="en-US"/>
              <w14:ligatures w14:val="standardContextual"/>
            </w:rPr>
          </w:pPr>
          <w:hyperlink w:anchor="_Toc233228216" w:history="1">
            <w:r w:rsidRPr="00C452A2">
              <w:rPr>
                <w:rStyle w:val="Hyperlink"/>
                <w:noProof/>
              </w:rPr>
              <w:t>Identified Best Practices Related to Rainfall Flooding</w:t>
            </w:r>
            <w:r>
              <w:rPr>
                <w:noProof/>
                <w:webHidden/>
              </w:rPr>
              <w:tab/>
            </w:r>
            <w:r>
              <w:rPr>
                <w:noProof/>
                <w:webHidden/>
              </w:rPr>
              <w:fldChar w:fldCharType="begin"/>
            </w:r>
            <w:r>
              <w:rPr>
                <w:noProof/>
                <w:webHidden/>
              </w:rPr>
              <w:instrText xml:space="preserve"> PAGEREF _Toc233228216 \h </w:instrText>
            </w:r>
            <w:r>
              <w:rPr>
                <w:noProof/>
                <w:webHidden/>
              </w:rPr>
            </w:r>
            <w:r>
              <w:rPr>
                <w:noProof/>
                <w:webHidden/>
              </w:rPr>
              <w:fldChar w:fldCharType="separate"/>
            </w:r>
            <w:r w:rsidR="00835544">
              <w:rPr>
                <w:noProof/>
                <w:webHidden/>
              </w:rPr>
              <w:t>15</w:t>
            </w:r>
            <w:r>
              <w:rPr>
                <w:noProof/>
                <w:webHidden/>
              </w:rPr>
              <w:fldChar w:fldCharType="end"/>
            </w:r>
          </w:hyperlink>
        </w:p>
        <w:p w14:paraId="517D6DBE" w14:textId="763B62B3" w:rsidR="00283D08" w:rsidRDefault="00283D08">
          <w:pPr>
            <w:pStyle w:val="TOC2"/>
            <w:rPr>
              <w:rFonts w:cstheme="minorBidi" w:hint="eastAsia"/>
              <w:b w:val="0"/>
              <w:noProof/>
              <w:color w:val="auto"/>
              <w:kern w:val="2"/>
              <w:sz w:val="24"/>
              <w:szCs w:val="24"/>
              <w:lang w:eastAsia="en-US"/>
              <w14:ligatures w14:val="standardContextual"/>
            </w:rPr>
          </w:pPr>
          <w:hyperlink w:anchor="_Toc233228217" w:history="1">
            <w:r w:rsidRPr="00C452A2">
              <w:rPr>
                <w:rStyle w:val="Hyperlink"/>
                <w:noProof/>
              </w:rPr>
              <w:t>Riverine (Fluvial) Flooding</w:t>
            </w:r>
            <w:r>
              <w:rPr>
                <w:noProof/>
                <w:webHidden/>
              </w:rPr>
              <w:tab/>
            </w:r>
            <w:r>
              <w:rPr>
                <w:noProof/>
                <w:webHidden/>
              </w:rPr>
              <w:fldChar w:fldCharType="begin"/>
            </w:r>
            <w:r>
              <w:rPr>
                <w:noProof/>
                <w:webHidden/>
              </w:rPr>
              <w:instrText xml:space="preserve"> PAGEREF _Toc233228217 \h </w:instrText>
            </w:r>
            <w:r>
              <w:rPr>
                <w:noProof/>
                <w:webHidden/>
              </w:rPr>
            </w:r>
            <w:r>
              <w:rPr>
                <w:noProof/>
                <w:webHidden/>
              </w:rPr>
              <w:fldChar w:fldCharType="separate"/>
            </w:r>
            <w:r w:rsidR="00835544">
              <w:rPr>
                <w:noProof/>
                <w:webHidden/>
              </w:rPr>
              <w:t>15</w:t>
            </w:r>
            <w:r>
              <w:rPr>
                <w:noProof/>
                <w:webHidden/>
              </w:rPr>
              <w:fldChar w:fldCharType="end"/>
            </w:r>
          </w:hyperlink>
        </w:p>
        <w:p w14:paraId="53E7EDBC" w14:textId="7336881F" w:rsidR="00283D08" w:rsidRDefault="00283D08">
          <w:pPr>
            <w:pStyle w:val="TOC3"/>
            <w:rPr>
              <w:rFonts w:cstheme="minorBidi" w:hint="eastAsia"/>
              <w:i w:val="0"/>
              <w:noProof/>
              <w:color w:val="auto"/>
              <w:kern w:val="2"/>
              <w:sz w:val="24"/>
              <w:szCs w:val="24"/>
              <w:lang w:eastAsia="en-US"/>
              <w14:ligatures w14:val="standardContextual"/>
            </w:rPr>
          </w:pPr>
          <w:hyperlink w:anchor="_Toc233228218" w:history="1">
            <w:r w:rsidRPr="00C452A2">
              <w:rPr>
                <w:rStyle w:val="Hyperlink"/>
                <w:noProof/>
              </w:rPr>
              <w:t>The "1-in-1,000-year" Event</w:t>
            </w:r>
            <w:r>
              <w:rPr>
                <w:noProof/>
                <w:webHidden/>
              </w:rPr>
              <w:tab/>
            </w:r>
            <w:r>
              <w:rPr>
                <w:noProof/>
                <w:webHidden/>
              </w:rPr>
              <w:fldChar w:fldCharType="begin"/>
            </w:r>
            <w:r>
              <w:rPr>
                <w:noProof/>
                <w:webHidden/>
              </w:rPr>
              <w:instrText xml:space="preserve"> PAGEREF _Toc233228218 \h </w:instrText>
            </w:r>
            <w:r>
              <w:rPr>
                <w:noProof/>
                <w:webHidden/>
              </w:rPr>
            </w:r>
            <w:r>
              <w:rPr>
                <w:noProof/>
                <w:webHidden/>
              </w:rPr>
              <w:fldChar w:fldCharType="separate"/>
            </w:r>
            <w:r w:rsidR="00835544">
              <w:rPr>
                <w:noProof/>
                <w:webHidden/>
              </w:rPr>
              <w:t>16</w:t>
            </w:r>
            <w:r>
              <w:rPr>
                <w:noProof/>
                <w:webHidden/>
              </w:rPr>
              <w:fldChar w:fldCharType="end"/>
            </w:r>
          </w:hyperlink>
        </w:p>
        <w:p w14:paraId="03982BBA" w14:textId="6EE6BD51" w:rsidR="00283D08" w:rsidRDefault="00283D08">
          <w:pPr>
            <w:pStyle w:val="TOC3"/>
            <w:rPr>
              <w:rFonts w:cstheme="minorBidi" w:hint="eastAsia"/>
              <w:i w:val="0"/>
              <w:noProof/>
              <w:color w:val="auto"/>
              <w:kern w:val="2"/>
              <w:sz w:val="24"/>
              <w:szCs w:val="24"/>
              <w:lang w:eastAsia="en-US"/>
              <w14:ligatures w14:val="standardContextual"/>
            </w:rPr>
          </w:pPr>
          <w:hyperlink w:anchor="_Toc233228219" w:history="1">
            <w:r w:rsidRPr="00C452A2">
              <w:rPr>
                <w:rStyle w:val="Hyperlink"/>
                <w:noProof/>
              </w:rPr>
              <w:t>Key Planning Information for Riverine Flooding</w:t>
            </w:r>
            <w:r>
              <w:rPr>
                <w:noProof/>
                <w:webHidden/>
              </w:rPr>
              <w:tab/>
            </w:r>
            <w:r>
              <w:rPr>
                <w:noProof/>
                <w:webHidden/>
              </w:rPr>
              <w:fldChar w:fldCharType="begin"/>
            </w:r>
            <w:r>
              <w:rPr>
                <w:noProof/>
                <w:webHidden/>
              </w:rPr>
              <w:instrText xml:space="preserve"> PAGEREF _Toc233228219 \h </w:instrText>
            </w:r>
            <w:r>
              <w:rPr>
                <w:noProof/>
                <w:webHidden/>
              </w:rPr>
            </w:r>
            <w:r>
              <w:rPr>
                <w:noProof/>
                <w:webHidden/>
              </w:rPr>
              <w:fldChar w:fldCharType="separate"/>
            </w:r>
            <w:r w:rsidR="00835544">
              <w:rPr>
                <w:noProof/>
                <w:webHidden/>
              </w:rPr>
              <w:t>16</w:t>
            </w:r>
            <w:r>
              <w:rPr>
                <w:noProof/>
                <w:webHidden/>
              </w:rPr>
              <w:fldChar w:fldCharType="end"/>
            </w:r>
          </w:hyperlink>
        </w:p>
        <w:p w14:paraId="7FD23DA8" w14:textId="1156882D" w:rsidR="00283D08" w:rsidRDefault="00283D08">
          <w:pPr>
            <w:pStyle w:val="TOC3"/>
            <w:rPr>
              <w:rFonts w:cstheme="minorBidi" w:hint="eastAsia"/>
              <w:i w:val="0"/>
              <w:noProof/>
              <w:color w:val="auto"/>
              <w:kern w:val="2"/>
              <w:sz w:val="24"/>
              <w:szCs w:val="24"/>
              <w:lang w:eastAsia="en-US"/>
              <w14:ligatures w14:val="standardContextual"/>
            </w:rPr>
          </w:pPr>
          <w:hyperlink w:anchor="_Toc233228220" w:history="1">
            <w:r w:rsidRPr="00C452A2">
              <w:rPr>
                <w:rStyle w:val="Hyperlink"/>
                <w:noProof/>
              </w:rPr>
              <w:t>Identified Best Practices Related to Riverine Flooding</w:t>
            </w:r>
            <w:r>
              <w:rPr>
                <w:noProof/>
                <w:webHidden/>
              </w:rPr>
              <w:tab/>
            </w:r>
            <w:r>
              <w:rPr>
                <w:noProof/>
                <w:webHidden/>
              </w:rPr>
              <w:fldChar w:fldCharType="begin"/>
            </w:r>
            <w:r>
              <w:rPr>
                <w:noProof/>
                <w:webHidden/>
              </w:rPr>
              <w:instrText xml:space="preserve"> PAGEREF _Toc233228220 \h </w:instrText>
            </w:r>
            <w:r>
              <w:rPr>
                <w:noProof/>
                <w:webHidden/>
              </w:rPr>
            </w:r>
            <w:r>
              <w:rPr>
                <w:noProof/>
                <w:webHidden/>
              </w:rPr>
              <w:fldChar w:fldCharType="separate"/>
            </w:r>
            <w:r w:rsidR="00835544">
              <w:rPr>
                <w:noProof/>
                <w:webHidden/>
              </w:rPr>
              <w:t>17</w:t>
            </w:r>
            <w:r>
              <w:rPr>
                <w:noProof/>
                <w:webHidden/>
              </w:rPr>
              <w:fldChar w:fldCharType="end"/>
            </w:r>
          </w:hyperlink>
        </w:p>
        <w:p w14:paraId="3F9453FC" w14:textId="19CF8976" w:rsidR="00283D08" w:rsidRDefault="00283D08">
          <w:pPr>
            <w:pStyle w:val="TOC2"/>
            <w:rPr>
              <w:rFonts w:cstheme="minorBidi" w:hint="eastAsia"/>
              <w:b w:val="0"/>
              <w:noProof/>
              <w:color w:val="auto"/>
              <w:kern w:val="2"/>
              <w:sz w:val="24"/>
              <w:szCs w:val="24"/>
              <w:lang w:eastAsia="en-US"/>
              <w14:ligatures w14:val="standardContextual"/>
            </w:rPr>
          </w:pPr>
          <w:hyperlink w:anchor="_Toc233228221" w:history="1">
            <w:r w:rsidRPr="00C452A2">
              <w:rPr>
                <w:rStyle w:val="Hyperlink"/>
                <w:noProof/>
              </w:rPr>
              <w:t>Coastal Flooding</w:t>
            </w:r>
            <w:r>
              <w:rPr>
                <w:noProof/>
                <w:webHidden/>
              </w:rPr>
              <w:tab/>
            </w:r>
            <w:r>
              <w:rPr>
                <w:noProof/>
                <w:webHidden/>
              </w:rPr>
              <w:fldChar w:fldCharType="begin"/>
            </w:r>
            <w:r>
              <w:rPr>
                <w:noProof/>
                <w:webHidden/>
              </w:rPr>
              <w:instrText xml:space="preserve"> PAGEREF _Toc233228221 \h </w:instrText>
            </w:r>
            <w:r>
              <w:rPr>
                <w:noProof/>
                <w:webHidden/>
              </w:rPr>
            </w:r>
            <w:r>
              <w:rPr>
                <w:noProof/>
                <w:webHidden/>
              </w:rPr>
              <w:fldChar w:fldCharType="separate"/>
            </w:r>
            <w:r w:rsidR="00835544">
              <w:rPr>
                <w:noProof/>
                <w:webHidden/>
              </w:rPr>
              <w:t>17</w:t>
            </w:r>
            <w:r>
              <w:rPr>
                <w:noProof/>
                <w:webHidden/>
              </w:rPr>
              <w:fldChar w:fldCharType="end"/>
            </w:r>
          </w:hyperlink>
        </w:p>
        <w:p w14:paraId="3866D16D" w14:textId="5F1625A5" w:rsidR="00283D08" w:rsidRDefault="00283D08">
          <w:pPr>
            <w:pStyle w:val="TOC3"/>
            <w:rPr>
              <w:rFonts w:cstheme="minorBidi" w:hint="eastAsia"/>
              <w:i w:val="0"/>
              <w:noProof/>
              <w:color w:val="auto"/>
              <w:kern w:val="2"/>
              <w:sz w:val="24"/>
              <w:szCs w:val="24"/>
              <w:lang w:eastAsia="en-US"/>
              <w14:ligatures w14:val="standardContextual"/>
            </w:rPr>
          </w:pPr>
          <w:hyperlink w:anchor="_Toc233228222" w:history="1">
            <w:r w:rsidRPr="00C452A2">
              <w:rPr>
                <w:rStyle w:val="Hyperlink"/>
                <w:noProof/>
              </w:rPr>
              <w:t>Sea Level Rise</w:t>
            </w:r>
            <w:r>
              <w:rPr>
                <w:noProof/>
                <w:webHidden/>
              </w:rPr>
              <w:tab/>
            </w:r>
            <w:r>
              <w:rPr>
                <w:noProof/>
                <w:webHidden/>
              </w:rPr>
              <w:fldChar w:fldCharType="begin"/>
            </w:r>
            <w:r>
              <w:rPr>
                <w:noProof/>
                <w:webHidden/>
              </w:rPr>
              <w:instrText xml:space="preserve"> PAGEREF _Toc233228222 \h </w:instrText>
            </w:r>
            <w:r>
              <w:rPr>
                <w:noProof/>
                <w:webHidden/>
              </w:rPr>
            </w:r>
            <w:r>
              <w:rPr>
                <w:noProof/>
                <w:webHidden/>
              </w:rPr>
              <w:fldChar w:fldCharType="separate"/>
            </w:r>
            <w:r w:rsidR="00835544">
              <w:rPr>
                <w:noProof/>
                <w:webHidden/>
              </w:rPr>
              <w:t>17</w:t>
            </w:r>
            <w:r>
              <w:rPr>
                <w:noProof/>
                <w:webHidden/>
              </w:rPr>
              <w:fldChar w:fldCharType="end"/>
            </w:r>
          </w:hyperlink>
        </w:p>
        <w:p w14:paraId="5B7D0522" w14:textId="01D18148" w:rsidR="00283D08" w:rsidRDefault="00283D08">
          <w:pPr>
            <w:pStyle w:val="TOC3"/>
            <w:rPr>
              <w:rFonts w:cstheme="minorBidi" w:hint="eastAsia"/>
              <w:i w:val="0"/>
              <w:noProof/>
              <w:color w:val="auto"/>
              <w:kern w:val="2"/>
              <w:sz w:val="24"/>
              <w:szCs w:val="24"/>
              <w:lang w:eastAsia="en-US"/>
              <w14:ligatures w14:val="standardContextual"/>
            </w:rPr>
          </w:pPr>
          <w:hyperlink w:anchor="_Toc233228223" w:history="1">
            <w:r w:rsidRPr="00C452A2">
              <w:rPr>
                <w:rStyle w:val="Hyperlink"/>
                <w:noProof/>
              </w:rPr>
              <w:t>Storm Surge</w:t>
            </w:r>
            <w:r>
              <w:rPr>
                <w:noProof/>
                <w:webHidden/>
              </w:rPr>
              <w:tab/>
            </w:r>
            <w:r>
              <w:rPr>
                <w:noProof/>
                <w:webHidden/>
              </w:rPr>
              <w:fldChar w:fldCharType="begin"/>
            </w:r>
            <w:r>
              <w:rPr>
                <w:noProof/>
                <w:webHidden/>
              </w:rPr>
              <w:instrText xml:space="preserve"> PAGEREF _Toc233228223 \h </w:instrText>
            </w:r>
            <w:r>
              <w:rPr>
                <w:noProof/>
                <w:webHidden/>
              </w:rPr>
            </w:r>
            <w:r>
              <w:rPr>
                <w:noProof/>
                <w:webHidden/>
              </w:rPr>
              <w:fldChar w:fldCharType="separate"/>
            </w:r>
            <w:r w:rsidR="00835544">
              <w:rPr>
                <w:noProof/>
                <w:webHidden/>
              </w:rPr>
              <w:t>19</w:t>
            </w:r>
            <w:r>
              <w:rPr>
                <w:noProof/>
                <w:webHidden/>
              </w:rPr>
              <w:fldChar w:fldCharType="end"/>
            </w:r>
          </w:hyperlink>
        </w:p>
        <w:p w14:paraId="663ACE94" w14:textId="258CAE5F" w:rsidR="00283D08" w:rsidRDefault="00283D08">
          <w:pPr>
            <w:pStyle w:val="TOC3"/>
            <w:rPr>
              <w:rFonts w:cstheme="minorBidi" w:hint="eastAsia"/>
              <w:i w:val="0"/>
              <w:noProof/>
              <w:color w:val="auto"/>
              <w:kern w:val="2"/>
              <w:sz w:val="24"/>
              <w:szCs w:val="24"/>
              <w:lang w:eastAsia="en-US"/>
              <w14:ligatures w14:val="standardContextual"/>
            </w:rPr>
          </w:pPr>
          <w:hyperlink w:anchor="_Toc233228224" w:history="1">
            <w:r w:rsidRPr="00C452A2">
              <w:rPr>
                <w:rStyle w:val="Hyperlink"/>
                <w:noProof/>
              </w:rPr>
              <w:t>Saltwater Intrusion</w:t>
            </w:r>
            <w:r>
              <w:rPr>
                <w:noProof/>
                <w:webHidden/>
              </w:rPr>
              <w:tab/>
            </w:r>
            <w:r>
              <w:rPr>
                <w:noProof/>
                <w:webHidden/>
              </w:rPr>
              <w:fldChar w:fldCharType="begin"/>
            </w:r>
            <w:r>
              <w:rPr>
                <w:noProof/>
                <w:webHidden/>
              </w:rPr>
              <w:instrText xml:space="preserve"> PAGEREF _Toc233228224 \h </w:instrText>
            </w:r>
            <w:r>
              <w:rPr>
                <w:noProof/>
                <w:webHidden/>
              </w:rPr>
            </w:r>
            <w:r>
              <w:rPr>
                <w:noProof/>
                <w:webHidden/>
              </w:rPr>
              <w:fldChar w:fldCharType="separate"/>
            </w:r>
            <w:r w:rsidR="00835544">
              <w:rPr>
                <w:noProof/>
                <w:webHidden/>
              </w:rPr>
              <w:t>20</w:t>
            </w:r>
            <w:r>
              <w:rPr>
                <w:noProof/>
                <w:webHidden/>
              </w:rPr>
              <w:fldChar w:fldCharType="end"/>
            </w:r>
          </w:hyperlink>
        </w:p>
        <w:p w14:paraId="7913ECD0" w14:textId="1E2320D3" w:rsidR="00283D08" w:rsidRDefault="00283D08">
          <w:pPr>
            <w:pStyle w:val="TOC3"/>
            <w:rPr>
              <w:rFonts w:cstheme="minorBidi" w:hint="eastAsia"/>
              <w:i w:val="0"/>
              <w:noProof/>
              <w:color w:val="auto"/>
              <w:kern w:val="2"/>
              <w:sz w:val="24"/>
              <w:szCs w:val="24"/>
              <w:lang w:eastAsia="en-US"/>
              <w14:ligatures w14:val="standardContextual"/>
            </w:rPr>
          </w:pPr>
          <w:hyperlink w:anchor="_Toc233228225" w:history="1">
            <w:r w:rsidRPr="00C452A2">
              <w:rPr>
                <w:rStyle w:val="Hyperlink"/>
                <w:noProof/>
              </w:rPr>
              <w:t>Key Planning Information for Coastal Flooding</w:t>
            </w:r>
            <w:r>
              <w:rPr>
                <w:noProof/>
                <w:webHidden/>
              </w:rPr>
              <w:tab/>
            </w:r>
            <w:r>
              <w:rPr>
                <w:noProof/>
                <w:webHidden/>
              </w:rPr>
              <w:fldChar w:fldCharType="begin"/>
            </w:r>
            <w:r>
              <w:rPr>
                <w:noProof/>
                <w:webHidden/>
              </w:rPr>
              <w:instrText xml:space="preserve"> PAGEREF _Toc233228225 \h </w:instrText>
            </w:r>
            <w:r>
              <w:rPr>
                <w:noProof/>
                <w:webHidden/>
              </w:rPr>
            </w:r>
            <w:r>
              <w:rPr>
                <w:noProof/>
                <w:webHidden/>
              </w:rPr>
              <w:fldChar w:fldCharType="separate"/>
            </w:r>
            <w:r w:rsidR="00835544">
              <w:rPr>
                <w:noProof/>
                <w:webHidden/>
              </w:rPr>
              <w:t>20</w:t>
            </w:r>
            <w:r>
              <w:rPr>
                <w:noProof/>
                <w:webHidden/>
              </w:rPr>
              <w:fldChar w:fldCharType="end"/>
            </w:r>
          </w:hyperlink>
        </w:p>
        <w:p w14:paraId="0C70DABB" w14:textId="5D3BCB4B" w:rsidR="00283D08" w:rsidRDefault="00283D08">
          <w:pPr>
            <w:pStyle w:val="TOC3"/>
            <w:rPr>
              <w:rFonts w:cstheme="minorBidi" w:hint="eastAsia"/>
              <w:i w:val="0"/>
              <w:noProof/>
              <w:color w:val="auto"/>
              <w:kern w:val="2"/>
              <w:sz w:val="24"/>
              <w:szCs w:val="24"/>
              <w:lang w:eastAsia="en-US"/>
              <w14:ligatures w14:val="standardContextual"/>
            </w:rPr>
          </w:pPr>
          <w:hyperlink w:anchor="_Toc233228226" w:history="1">
            <w:r w:rsidRPr="00C452A2">
              <w:rPr>
                <w:rStyle w:val="Hyperlink"/>
                <w:noProof/>
              </w:rPr>
              <w:t>Identified Best Practices Related to Coastal Flooding</w:t>
            </w:r>
            <w:r>
              <w:rPr>
                <w:noProof/>
                <w:webHidden/>
              </w:rPr>
              <w:tab/>
            </w:r>
            <w:r>
              <w:rPr>
                <w:noProof/>
                <w:webHidden/>
              </w:rPr>
              <w:fldChar w:fldCharType="begin"/>
            </w:r>
            <w:r>
              <w:rPr>
                <w:noProof/>
                <w:webHidden/>
              </w:rPr>
              <w:instrText xml:space="preserve"> PAGEREF _Toc233228226 \h </w:instrText>
            </w:r>
            <w:r>
              <w:rPr>
                <w:noProof/>
                <w:webHidden/>
              </w:rPr>
            </w:r>
            <w:r>
              <w:rPr>
                <w:noProof/>
                <w:webHidden/>
              </w:rPr>
              <w:fldChar w:fldCharType="separate"/>
            </w:r>
            <w:r w:rsidR="00835544">
              <w:rPr>
                <w:noProof/>
                <w:webHidden/>
              </w:rPr>
              <w:t>21</w:t>
            </w:r>
            <w:r>
              <w:rPr>
                <w:noProof/>
                <w:webHidden/>
              </w:rPr>
              <w:fldChar w:fldCharType="end"/>
            </w:r>
          </w:hyperlink>
        </w:p>
        <w:p w14:paraId="6083F273" w14:textId="3DC6E7E5"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27" w:history="1">
            <w:r w:rsidRPr="00C452A2">
              <w:rPr>
                <w:rStyle w:val="Hyperlink"/>
                <w:noProof/>
              </w:rPr>
              <w:t>Extreme Heat</w:t>
            </w:r>
            <w:r>
              <w:rPr>
                <w:noProof/>
                <w:webHidden/>
              </w:rPr>
              <w:tab/>
            </w:r>
            <w:r>
              <w:rPr>
                <w:noProof/>
                <w:webHidden/>
              </w:rPr>
              <w:fldChar w:fldCharType="begin"/>
            </w:r>
            <w:r>
              <w:rPr>
                <w:noProof/>
                <w:webHidden/>
              </w:rPr>
              <w:instrText xml:space="preserve"> PAGEREF _Toc233228227 \h </w:instrText>
            </w:r>
            <w:r>
              <w:rPr>
                <w:noProof/>
                <w:webHidden/>
              </w:rPr>
            </w:r>
            <w:r>
              <w:rPr>
                <w:noProof/>
                <w:webHidden/>
              </w:rPr>
              <w:fldChar w:fldCharType="separate"/>
            </w:r>
            <w:r w:rsidR="00835544">
              <w:rPr>
                <w:noProof/>
                <w:webHidden/>
              </w:rPr>
              <w:t>22</w:t>
            </w:r>
            <w:r>
              <w:rPr>
                <w:noProof/>
                <w:webHidden/>
              </w:rPr>
              <w:fldChar w:fldCharType="end"/>
            </w:r>
          </w:hyperlink>
        </w:p>
        <w:p w14:paraId="40F920A9" w14:textId="536FE9AE" w:rsidR="00283D08" w:rsidRDefault="00283D08">
          <w:pPr>
            <w:pStyle w:val="TOC2"/>
            <w:rPr>
              <w:rFonts w:cstheme="minorBidi" w:hint="eastAsia"/>
              <w:b w:val="0"/>
              <w:noProof/>
              <w:color w:val="auto"/>
              <w:kern w:val="2"/>
              <w:sz w:val="24"/>
              <w:szCs w:val="24"/>
              <w:lang w:eastAsia="en-US"/>
              <w14:ligatures w14:val="standardContextual"/>
            </w:rPr>
          </w:pPr>
          <w:hyperlink w:anchor="_Toc233228228" w:history="1">
            <w:r w:rsidRPr="00C452A2">
              <w:rPr>
                <w:rStyle w:val="Hyperlink"/>
                <w:noProof/>
              </w:rPr>
              <w:t>Key Planning Information for Extreme Heat</w:t>
            </w:r>
            <w:r>
              <w:rPr>
                <w:noProof/>
                <w:webHidden/>
              </w:rPr>
              <w:tab/>
            </w:r>
            <w:r>
              <w:rPr>
                <w:noProof/>
                <w:webHidden/>
              </w:rPr>
              <w:fldChar w:fldCharType="begin"/>
            </w:r>
            <w:r>
              <w:rPr>
                <w:noProof/>
                <w:webHidden/>
              </w:rPr>
              <w:instrText xml:space="preserve"> PAGEREF _Toc233228228 \h </w:instrText>
            </w:r>
            <w:r>
              <w:rPr>
                <w:noProof/>
                <w:webHidden/>
              </w:rPr>
            </w:r>
            <w:r>
              <w:rPr>
                <w:noProof/>
                <w:webHidden/>
              </w:rPr>
              <w:fldChar w:fldCharType="separate"/>
            </w:r>
            <w:r w:rsidR="00835544">
              <w:rPr>
                <w:noProof/>
                <w:webHidden/>
              </w:rPr>
              <w:t>23</w:t>
            </w:r>
            <w:r>
              <w:rPr>
                <w:noProof/>
                <w:webHidden/>
              </w:rPr>
              <w:fldChar w:fldCharType="end"/>
            </w:r>
          </w:hyperlink>
        </w:p>
        <w:p w14:paraId="3066C90A" w14:textId="43BC005D" w:rsidR="00283D08" w:rsidRDefault="00283D08">
          <w:pPr>
            <w:pStyle w:val="TOC2"/>
            <w:rPr>
              <w:rFonts w:cstheme="minorBidi" w:hint="eastAsia"/>
              <w:b w:val="0"/>
              <w:noProof/>
              <w:color w:val="auto"/>
              <w:kern w:val="2"/>
              <w:sz w:val="24"/>
              <w:szCs w:val="24"/>
              <w:lang w:eastAsia="en-US"/>
              <w14:ligatures w14:val="standardContextual"/>
            </w:rPr>
          </w:pPr>
          <w:hyperlink w:anchor="_Toc233228229" w:history="1">
            <w:r w:rsidRPr="00C452A2">
              <w:rPr>
                <w:rStyle w:val="Hyperlink"/>
                <w:noProof/>
              </w:rPr>
              <w:t>Identified Best Practices Related to Extreme Heat</w:t>
            </w:r>
            <w:r>
              <w:rPr>
                <w:noProof/>
                <w:webHidden/>
              </w:rPr>
              <w:tab/>
            </w:r>
            <w:r>
              <w:rPr>
                <w:noProof/>
                <w:webHidden/>
              </w:rPr>
              <w:fldChar w:fldCharType="begin"/>
            </w:r>
            <w:r>
              <w:rPr>
                <w:noProof/>
                <w:webHidden/>
              </w:rPr>
              <w:instrText xml:space="preserve"> PAGEREF _Toc233228229 \h </w:instrText>
            </w:r>
            <w:r>
              <w:rPr>
                <w:noProof/>
                <w:webHidden/>
              </w:rPr>
            </w:r>
            <w:r>
              <w:rPr>
                <w:noProof/>
                <w:webHidden/>
              </w:rPr>
              <w:fldChar w:fldCharType="separate"/>
            </w:r>
            <w:r w:rsidR="00835544">
              <w:rPr>
                <w:noProof/>
                <w:webHidden/>
              </w:rPr>
              <w:t>23</w:t>
            </w:r>
            <w:r>
              <w:rPr>
                <w:noProof/>
                <w:webHidden/>
              </w:rPr>
              <w:fldChar w:fldCharType="end"/>
            </w:r>
          </w:hyperlink>
        </w:p>
        <w:p w14:paraId="723B4FB5" w14:textId="45D7BA40"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30" w:history="1">
            <w:r w:rsidRPr="00C452A2">
              <w:rPr>
                <w:rStyle w:val="Hyperlink"/>
                <w:noProof/>
              </w:rPr>
              <w:t>Drought</w:t>
            </w:r>
            <w:r>
              <w:rPr>
                <w:noProof/>
                <w:webHidden/>
              </w:rPr>
              <w:tab/>
            </w:r>
            <w:r>
              <w:rPr>
                <w:noProof/>
                <w:webHidden/>
              </w:rPr>
              <w:fldChar w:fldCharType="begin"/>
            </w:r>
            <w:r>
              <w:rPr>
                <w:noProof/>
                <w:webHidden/>
              </w:rPr>
              <w:instrText xml:space="preserve"> PAGEREF _Toc233228230 \h </w:instrText>
            </w:r>
            <w:r>
              <w:rPr>
                <w:noProof/>
                <w:webHidden/>
              </w:rPr>
            </w:r>
            <w:r>
              <w:rPr>
                <w:noProof/>
                <w:webHidden/>
              </w:rPr>
              <w:fldChar w:fldCharType="separate"/>
            </w:r>
            <w:r w:rsidR="00835544">
              <w:rPr>
                <w:noProof/>
                <w:webHidden/>
              </w:rPr>
              <w:t>24</w:t>
            </w:r>
            <w:r>
              <w:rPr>
                <w:noProof/>
                <w:webHidden/>
              </w:rPr>
              <w:fldChar w:fldCharType="end"/>
            </w:r>
          </w:hyperlink>
        </w:p>
        <w:p w14:paraId="686DD31B" w14:textId="75A653ED" w:rsidR="00283D08" w:rsidRDefault="00283D08">
          <w:pPr>
            <w:pStyle w:val="TOC2"/>
            <w:rPr>
              <w:rFonts w:cstheme="minorBidi" w:hint="eastAsia"/>
              <w:b w:val="0"/>
              <w:noProof/>
              <w:color w:val="auto"/>
              <w:kern w:val="2"/>
              <w:sz w:val="24"/>
              <w:szCs w:val="24"/>
              <w:lang w:eastAsia="en-US"/>
              <w14:ligatures w14:val="standardContextual"/>
            </w:rPr>
          </w:pPr>
          <w:hyperlink w:anchor="_Toc233228231" w:history="1">
            <w:r w:rsidRPr="00C452A2">
              <w:rPr>
                <w:rStyle w:val="Hyperlink"/>
                <w:noProof/>
              </w:rPr>
              <w:t>Key Planning Information for Drought</w:t>
            </w:r>
            <w:r>
              <w:rPr>
                <w:noProof/>
                <w:webHidden/>
              </w:rPr>
              <w:tab/>
            </w:r>
            <w:r>
              <w:rPr>
                <w:noProof/>
                <w:webHidden/>
              </w:rPr>
              <w:fldChar w:fldCharType="begin"/>
            </w:r>
            <w:r>
              <w:rPr>
                <w:noProof/>
                <w:webHidden/>
              </w:rPr>
              <w:instrText xml:space="preserve"> PAGEREF _Toc233228231 \h </w:instrText>
            </w:r>
            <w:r>
              <w:rPr>
                <w:noProof/>
                <w:webHidden/>
              </w:rPr>
            </w:r>
            <w:r>
              <w:rPr>
                <w:noProof/>
                <w:webHidden/>
              </w:rPr>
              <w:fldChar w:fldCharType="separate"/>
            </w:r>
            <w:r w:rsidR="00835544">
              <w:rPr>
                <w:noProof/>
                <w:webHidden/>
              </w:rPr>
              <w:t>25</w:t>
            </w:r>
            <w:r>
              <w:rPr>
                <w:noProof/>
                <w:webHidden/>
              </w:rPr>
              <w:fldChar w:fldCharType="end"/>
            </w:r>
          </w:hyperlink>
        </w:p>
        <w:p w14:paraId="5848927E" w14:textId="2B63DD1D" w:rsidR="00283D08" w:rsidRDefault="00283D08">
          <w:pPr>
            <w:pStyle w:val="TOC2"/>
            <w:rPr>
              <w:rFonts w:cstheme="minorBidi" w:hint="eastAsia"/>
              <w:b w:val="0"/>
              <w:noProof/>
              <w:color w:val="auto"/>
              <w:kern w:val="2"/>
              <w:sz w:val="24"/>
              <w:szCs w:val="24"/>
              <w:lang w:eastAsia="en-US"/>
              <w14:ligatures w14:val="standardContextual"/>
            </w:rPr>
          </w:pPr>
          <w:hyperlink w:anchor="_Toc233228232" w:history="1">
            <w:r w:rsidRPr="00C452A2">
              <w:rPr>
                <w:rStyle w:val="Hyperlink"/>
                <w:noProof/>
              </w:rPr>
              <w:t>Identified Best Practices Related to Drought</w:t>
            </w:r>
            <w:r>
              <w:rPr>
                <w:noProof/>
                <w:webHidden/>
              </w:rPr>
              <w:tab/>
            </w:r>
            <w:r>
              <w:rPr>
                <w:noProof/>
                <w:webHidden/>
              </w:rPr>
              <w:fldChar w:fldCharType="begin"/>
            </w:r>
            <w:r>
              <w:rPr>
                <w:noProof/>
                <w:webHidden/>
              </w:rPr>
              <w:instrText xml:space="preserve"> PAGEREF _Toc233228232 \h </w:instrText>
            </w:r>
            <w:r>
              <w:rPr>
                <w:noProof/>
                <w:webHidden/>
              </w:rPr>
            </w:r>
            <w:r>
              <w:rPr>
                <w:noProof/>
                <w:webHidden/>
              </w:rPr>
              <w:fldChar w:fldCharType="separate"/>
            </w:r>
            <w:r w:rsidR="00835544">
              <w:rPr>
                <w:noProof/>
                <w:webHidden/>
              </w:rPr>
              <w:t>26</w:t>
            </w:r>
            <w:r>
              <w:rPr>
                <w:noProof/>
                <w:webHidden/>
              </w:rPr>
              <w:fldChar w:fldCharType="end"/>
            </w:r>
          </w:hyperlink>
        </w:p>
        <w:p w14:paraId="7328C3E3" w14:textId="233D0F51"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33" w:history="1">
            <w:r w:rsidRPr="00C452A2">
              <w:rPr>
                <w:rStyle w:val="Hyperlink"/>
                <w:noProof/>
              </w:rPr>
              <w:t>Wildfire</w:t>
            </w:r>
            <w:r>
              <w:rPr>
                <w:noProof/>
                <w:webHidden/>
              </w:rPr>
              <w:tab/>
            </w:r>
            <w:r>
              <w:rPr>
                <w:noProof/>
                <w:webHidden/>
              </w:rPr>
              <w:fldChar w:fldCharType="begin"/>
            </w:r>
            <w:r>
              <w:rPr>
                <w:noProof/>
                <w:webHidden/>
              </w:rPr>
              <w:instrText xml:space="preserve"> PAGEREF _Toc233228233 \h </w:instrText>
            </w:r>
            <w:r>
              <w:rPr>
                <w:noProof/>
                <w:webHidden/>
              </w:rPr>
            </w:r>
            <w:r>
              <w:rPr>
                <w:noProof/>
                <w:webHidden/>
              </w:rPr>
              <w:fldChar w:fldCharType="separate"/>
            </w:r>
            <w:r w:rsidR="00835544">
              <w:rPr>
                <w:noProof/>
                <w:webHidden/>
              </w:rPr>
              <w:t>27</w:t>
            </w:r>
            <w:r>
              <w:rPr>
                <w:noProof/>
                <w:webHidden/>
              </w:rPr>
              <w:fldChar w:fldCharType="end"/>
            </w:r>
          </w:hyperlink>
        </w:p>
        <w:p w14:paraId="7DEFCCAE" w14:textId="2C78F852" w:rsidR="00283D08" w:rsidRDefault="00283D08">
          <w:pPr>
            <w:pStyle w:val="TOC2"/>
            <w:rPr>
              <w:rFonts w:cstheme="minorBidi" w:hint="eastAsia"/>
              <w:b w:val="0"/>
              <w:noProof/>
              <w:color w:val="auto"/>
              <w:kern w:val="2"/>
              <w:sz w:val="24"/>
              <w:szCs w:val="24"/>
              <w:lang w:eastAsia="en-US"/>
              <w14:ligatures w14:val="standardContextual"/>
            </w:rPr>
          </w:pPr>
          <w:hyperlink w:anchor="_Toc233228234" w:history="1">
            <w:r w:rsidRPr="00C452A2">
              <w:rPr>
                <w:rStyle w:val="Hyperlink"/>
                <w:noProof/>
              </w:rPr>
              <w:t>Key Planning Information for Wildfire</w:t>
            </w:r>
            <w:r>
              <w:rPr>
                <w:noProof/>
                <w:webHidden/>
              </w:rPr>
              <w:tab/>
            </w:r>
            <w:r>
              <w:rPr>
                <w:noProof/>
                <w:webHidden/>
              </w:rPr>
              <w:fldChar w:fldCharType="begin"/>
            </w:r>
            <w:r>
              <w:rPr>
                <w:noProof/>
                <w:webHidden/>
              </w:rPr>
              <w:instrText xml:space="preserve"> PAGEREF _Toc233228234 \h </w:instrText>
            </w:r>
            <w:r>
              <w:rPr>
                <w:noProof/>
                <w:webHidden/>
              </w:rPr>
            </w:r>
            <w:r>
              <w:rPr>
                <w:noProof/>
                <w:webHidden/>
              </w:rPr>
              <w:fldChar w:fldCharType="separate"/>
            </w:r>
            <w:r w:rsidR="00835544">
              <w:rPr>
                <w:noProof/>
                <w:webHidden/>
              </w:rPr>
              <w:t>27</w:t>
            </w:r>
            <w:r>
              <w:rPr>
                <w:noProof/>
                <w:webHidden/>
              </w:rPr>
              <w:fldChar w:fldCharType="end"/>
            </w:r>
          </w:hyperlink>
        </w:p>
        <w:p w14:paraId="738C1ABB" w14:textId="4B86E4DC" w:rsidR="00283D08" w:rsidRDefault="00283D08">
          <w:pPr>
            <w:pStyle w:val="TOC2"/>
            <w:rPr>
              <w:rFonts w:cstheme="minorBidi" w:hint="eastAsia"/>
              <w:b w:val="0"/>
              <w:noProof/>
              <w:color w:val="auto"/>
              <w:kern w:val="2"/>
              <w:sz w:val="24"/>
              <w:szCs w:val="24"/>
              <w:lang w:eastAsia="en-US"/>
              <w14:ligatures w14:val="standardContextual"/>
            </w:rPr>
          </w:pPr>
          <w:hyperlink w:anchor="_Toc233228235" w:history="1">
            <w:r w:rsidRPr="00C452A2">
              <w:rPr>
                <w:rStyle w:val="Hyperlink"/>
                <w:noProof/>
              </w:rPr>
              <w:t>Identified Best Practices Related to Wildfire</w:t>
            </w:r>
            <w:r>
              <w:rPr>
                <w:noProof/>
                <w:webHidden/>
              </w:rPr>
              <w:tab/>
            </w:r>
            <w:r>
              <w:rPr>
                <w:noProof/>
                <w:webHidden/>
              </w:rPr>
              <w:fldChar w:fldCharType="begin"/>
            </w:r>
            <w:r>
              <w:rPr>
                <w:noProof/>
                <w:webHidden/>
              </w:rPr>
              <w:instrText xml:space="preserve"> PAGEREF _Toc233228235 \h </w:instrText>
            </w:r>
            <w:r>
              <w:rPr>
                <w:noProof/>
                <w:webHidden/>
              </w:rPr>
            </w:r>
            <w:r>
              <w:rPr>
                <w:noProof/>
                <w:webHidden/>
              </w:rPr>
              <w:fldChar w:fldCharType="separate"/>
            </w:r>
            <w:r w:rsidR="00835544">
              <w:rPr>
                <w:noProof/>
                <w:webHidden/>
              </w:rPr>
              <w:t>28</w:t>
            </w:r>
            <w:r>
              <w:rPr>
                <w:noProof/>
                <w:webHidden/>
              </w:rPr>
              <w:fldChar w:fldCharType="end"/>
            </w:r>
          </w:hyperlink>
        </w:p>
        <w:p w14:paraId="60EA6AF2" w14:textId="7C152583"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36" w:history="1">
            <w:r w:rsidRPr="00C452A2">
              <w:rPr>
                <w:rStyle w:val="Hyperlink"/>
                <w:noProof/>
              </w:rPr>
              <w:t>References</w:t>
            </w:r>
            <w:r>
              <w:rPr>
                <w:noProof/>
                <w:webHidden/>
              </w:rPr>
              <w:tab/>
            </w:r>
            <w:r>
              <w:rPr>
                <w:noProof/>
                <w:webHidden/>
              </w:rPr>
              <w:fldChar w:fldCharType="begin"/>
            </w:r>
            <w:r>
              <w:rPr>
                <w:noProof/>
                <w:webHidden/>
              </w:rPr>
              <w:instrText xml:space="preserve"> PAGEREF _Toc233228236 \h </w:instrText>
            </w:r>
            <w:r>
              <w:rPr>
                <w:noProof/>
                <w:webHidden/>
              </w:rPr>
            </w:r>
            <w:r>
              <w:rPr>
                <w:noProof/>
                <w:webHidden/>
              </w:rPr>
              <w:fldChar w:fldCharType="separate"/>
            </w:r>
            <w:r w:rsidR="00835544">
              <w:rPr>
                <w:noProof/>
                <w:webHidden/>
              </w:rPr>
              <w:t>29</w:t>
            </w:r>
            <w:r>
              <w:rPr>
                <w:noProof/>
                <w:webHidden/>
              </w:rPr>
              <w:fldChar w:fldCharType="end"/>
            </w:r>
          </w:hyperlink>
        </w:p>
        <w:p w14:paraId="1C15BF3A" w14:textId="02EA4A94"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37" w:history="1">
            <w:r w:rsidRPr="00C452A2">
              <w:rPr>
                <w:rStyle w:val="Hyperlink"/>
                <w:rFonts w:eastAsia="Arial"/>
                <w:noProof/>
              </w:rPr>
              <w:t>Appendix A: Maps</w:t>
            </w:r>
            <w:r>
              <w:rPr>
                <w:noProof/>
                <w:webHidden/>
              </w:rPr>
              <w:tab/>
            </w:r>
            <w:r>
              <w:rPr>
                <w:noProof/>
                <w:webHidden/>
              </w:rPr>
              <w:fldChar w:fldCharType="begin"/>
            </w:r>
            <w:r>
              <w:rPr>
                <w:noProof/>
                <w:webHidden/>
              </w:rPr>
              <w:instrText xml:space="preserve"> PAGEREF _Toc233228237 \h </w:instrText>
            </w:r>
            <w:r>
              <w:rPr>
                <w:noProof/>
                <w:webHidden/>
              </w:rPr>
            </w:r>
            <w:r>
              <w:rPr>
                <w:noProof/>
                <w:webHidden/>
              </w:rPr>
              <w:fldChar w:fldCharType="separate"/>
            </w:r>
            <w:r w:rsidR="00835544">
              <w:rPr>
                <w:noProof/>
                <w:webHidden/>
              </w:rPr>
              <w:t>30</w:t>
            </w:r>
            <w:r>
              <w:rPr>
                <w:noProof/>
                <w:webHidden/>
              </w:rPr>
              <w:fldChar w:fldCharType="end"/>
            </w:r>
          </w:hyperlink>
        </w:p>
        <w:p w14:paraId="0955CA79" w14:textId="363386B5" w:rsidR="00283D08" w:rsidRDefault="00283D08">
          <w:pPr>
            <w:pStyle w:val="TOC1"/>
            <w:rPr>
              <w:rFonts w:asciiTheme="minorHAnsi" w:hAnsiTheme="minorHAnsi" w:cstheme="minorBidi" w:hint="eastAsia"/>
              <w:b w:val="0"/>
              <w:caps w:val="0"/>
              <w:noProof/>
              <w:color w:val="auto"/>
              <w:kern w:val="2"/>
              <w:position w:val="0"/>
              <w:sz w:val="24"/>
              <w:lang w:eastAsia="en-US"/>
              <w14:ligatures w14:val="standardContextual"/>
            </w:rPr>
          </w:pPr>
          <w:hyperlink w:anchor="_Toc233228238" w:history="1">
            <w:r w:rsidRPr="00C452A2">
              <w:rPr>
                <w:rStyle w:val="Hyperlink"/>
                <w:noProof/>
              </w:rPr>
              <w:t>Appendix B: Flood Risk Data Sources</w:t>
            </w:r>
            <w:r>
              <w:rPr>
                <w:noProof/>
                <w:webHidden/>
              </w:rPr>
              <w:tab/>
            </w:r>
            <w:r>
              <w:rPr>
                <w:noProof/>
                <w:webHidden/>
              </w:rPr>
              <w:fldChar w:fldCharType="begin"/>
            </w:r>
            <w:r>
              <w:rPr>
                <w:noProof/>
                <w:webHidden/>
              </w:rPr>
              <w:instrText xml:space="preserve"> PAGEREF _Toc233228238 \h </w:instrText>
            </w:r>
            <w:r>
              <w:rPr>
                <w:noProof/>
                <w:webHidden/>
              </w:rPr>
            </w:r>
            <w:r>
              <w:rPr>
                <w:noProof/>
                <w:webHidden/>
              </w:rPr>
              <w:fldChar w:fldCharType="separate"/>
            </w:r>
            <w:r w:rsidR="00835544">
              <w:rPr>
                <w:noProof/>
                <w:webHidden/>
              </w:rPr>
              <w:t>46</w:t>
            </w:r>
            <w:r>
              <w:rPr>
                <w:noProof/>
                <w:webHidden/>
              </w:rPr>
              <w:fldChar w:fldCharType="end"/>
            </w:r>
          </w:hyperlink>
        </w:p>
        <w:p w14:paraId="3B45327D" w14:textId="70D89DFE" w:rsidR="00283D08" w:rsidRDefault="00283D08">
          <w:pPr>
            <w:pStyle w:val="TOC2"/>
            <w:rPr>
              <w:rFonts w:cstheme="minorBidi" w:hint="eastAsia"/>
              <w:b w:val="0"/>
              <w:noProof/>
              <w:color w:val="auto"/>
              <w:kern w:val="2"/>
              <w:sz w:val="24"/>
              <w:szCs w:val="24"/>
              <w:lang w:eastAsia="en-US"/>
              <w14:ligatures w14:val="standardContextual"/>
            </w:rPr>
          </w:pPr>
          <w:hyperlink w:anchor="_Toc233228239" w:history="1">
            <w:r w:rsidRPr="00C452A2">
              <w:rPr>
                <w:rStyle w:val="Hyperlink"/>
                <w:noProof/>
              </w:rPr>
              <w:t>FEMA Flood Hazard Information</w:t>
            </w:r>
            <w:r>
              <w:rPr>
                <w:noProof/>
                <w:webHidden/>
              </w:rPr>
              <w:tab/>
            </w:r>
            <w:r>
              <w:rPr>
                <w:noProof/>
                <w:webHidden/>
              </w:rPr>
              <w:fldChar w:fldCharType="begin"/>
            </w:r>
            <w:r>
              <w:rPr>
                <w:noProof/>
                <w:webHidden/>
              </w:rPr>
              <w:instrText xml:space="preserve"> PAGEREF _Toc233228239 \h </w:instrText>
            </w:r>
            <w:r>
              <w:rPr>
                <w:noProof/>
                <w:webHidden/>
              </w:rPr>
            </w:r>
            <w:r>
              <w:rPr>
                <w:noProof/>
                <w:webHidden/>
              </w:rPr>
              <w:fldChar w:fldCharType="separate"/>
            </w:r>
            <w:r w:rsidR="00835544">
              <w:rPr>
                <w:noProof/>
                <w:webHidden/>
              </w:rPr>
              <w:t>46</w:t>
            </w:r>
            <w:r>
              <w:rPr>
                <w:noProof/>
                <w:webHidden/>
              </w:rPr>
              <w:fldChar w:fldCharType="end"/>
            </w:r>
          </w:hyperlink>
        </w:p>
        <w:p w14:paraId="3D9048B9" w14:textId="550F78FB" w:rsidR="00734799" w:rsidRDefault="004A36A8" w:rsidP="00734799">
          <w:pPr>
            <w:pStyle w:val="Header"/>
            <w:rPr>
              <w:rFonts w:hint="eastAsia"/>
              <w:caps w:val="0"/>
              <w:noProof/>
            </w:rPr>
          </w:pPr>
          <w:r>
            <w:rPr>
              <w:rFonts w:cs="Proxima Nova Semibold"/>
              <w:b/>
              <w:color w:val="4970B7" w:themeColor="accent3"/>
              <w:spacing w:val="0"/>
              <w:position w:val="-2"/>
              <w:sz w:val="24"/>
              <w:szCs w:val="24"/>
            </w:rPr>
            <w:fldChar w:fldCharType="end"/>
          </w:r>
        </w:p>
      </w:sdtContent>
    </w:sdt>
    <w:p w14:paraId="05A6136E" w14:textId="08C5A1F8" w:rsidR="008E6B95" w:rsidRPr="00843358" w:rsidRDefault="008E6B95" w:rsidP="00162924">
      <w:pPr>
        <w:pStyle w:val="Heading2"/>
        <w:spacing w:before="240" w:after="240"/>
        <w:rPr>
          <w:rFonts w:hint="eastAsia"/>
          <w:sz w:val="2"/>
          <w:szCs w:val="2"/>
        </w:rPr>
      </w:pPr>
      <w:r w:rsidRPr="00843358">
        <w:t>Figures</w:t>
      </w:r>
    </w:p>
    <w:p w14:paraId="748623AE" w14:textId="0C6E5E5F" w:rsidR="00283D08" w:rsidRDefault="00F9736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r>
        <w:rPr>
          <w:caps/>
          <w:color w:val="000000" w:themeColor="text2" w:themeShade="BF"/>
          <w:sz w:val="24"/>
        </w:rPr>
        <w:fldChar w:fldCharType="begin"/>
      </w:r>
      <w:r>
        <w:rPr>
          <w:caps/>
          <w:color w:val="000000" w:themeColor="text2" w:themeShade="BF"/>
          <w:sz w:val="24"/>
        </w:rPr>
        <w:instrText xml:space="preserve"> TOC \h \z \c "Figure" </w:instrText>
      </w:r>
      <w:r>
        <w:rPr>
          <w:caps/>
          <w:color w:val="000000" w:themeColor="text2" w:themeShade="BF"/>
          <w:sz w:val="24"/>
        </w:rPr>
        <w:fldChar w:fldCharType="separate"/>
      </w:r>
      <w:hyperlink w:anchor="_Toc233228240" w:history="1">
        <w:r w:rsidR="00283D08" w:rsidRPr="00121093">
          <w:rPr>
            <w:rStyle w:val="Hyperlink"/>
            <w:b/>
            <w:bCs/>
            <w:noProof/>
          </w:rPr>
          <w:t>Figure 1.</w:t>
        </w:r>
        <w:r w:rsidR="00283D08" w:rsidRPr="00121093">
          <w:rPr>
            <w:rStyle w:val="Hyperlink"/>
            <w:noProof/>
          </w:rPr>
          <w:t xml:space="preserve"> Hazard Assessment information workflow.</w:t>
        </w:r>
        <w:r w:rsidR="00283D08">
          <w:rPr>
            <w:noProof/>
            <w:webHidden/>
          </w:rPr>
          <w:tab/>
        </w:r>
        <w:r w:rsidR="00283D08">
          <w:rPr>
            <w:noProof/>
            <w:webHidden/>
          </w:rPr>
          <w:fldChar w:fldCharType="begin"/>
        </w:r>
        <w:r w:rsidR="00283D08">
          <w:rPr>
            <w:noProof/>
            <w:webHidden/>
          </w:rPr>
          <w:instrText xml:space="preserve"> PAGEREF _Toc233228240 \h </w:instrText>
        </w:r>
        <w:r w:rsidR="00283D08">
          <w:rPr>
            <w:noProof/>
            <w:webHidden/>
          </w:rPr>
        </w:r>
        <w:r w:rsidR="00283D08">
          <w:rPr>
            <w:noProof/>
            <w:webHidden/>
          </w:rPr>
          <w:fldChar w:fldCharType="separate"/>
        </w:r>
        <w:r w:rsidR="00283D08">
          <w:rPr>
            <w:noProof/>
            <w:webHidden/>
          </w:rPr>
          <w:t>1</w:t>
        </w:r>
        <w:r w:rsidR="00283D08">
          <w:rPr>
            <w:noProof/>
            <w:webHidden/>
          </w:rPr>
          <w:fldChar w:fldCharType="end"/>
        </w:r>
      </w:hyperlink>
    </w:p>
    <w:p w14:paraId="5913C491" w14:textId="53DC7892"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1" w:history="1">
        <w:r w:rsidRPr="00121093">
          <w:rPr>
            <w:rStyle w:val="Hyperlink"/>
            <w:b/>
            <w:bCs/>
            <w:noProof/>
          </w:rPr>
          <w:t>Figure 2.</w:t>
        </w:r>
        <w:r w:rsidRPr="00121093">
          <w:rPr>
            <w:rStyle w:val="Hyperlink"/>
            <w:noProof/>
          </w:rPr>
          <w:t xml:space="preserve"> WestCOG Study Area and member municipalities.</w:t>
        </w:r>
        <w:r>
          <w:rPr>
            <w:noProof/>
            <w:webHidden/>
          </w:rPr>
          <w:tab/>
        </w:r>
        <w:r>
          <w:rPr>
            <w:noProof/>
            <w:webHidden/>
          </w:rPr>
          <w:fldChar w:fldCharType="begin"/>
        </w:r>
        <w:r>
          <w:rPr>
            <w:noProof/>
            <w:webHidden/>
          </w:rPr>
          <w:instrText xml:space="preserve"> PAGEREF _Toc233228241 \h </w:instrText>
        </w:r>
        <w:r>
          <w:rPr>
            <w:noProof/>
            <w:webHidden/>
          </w:rPr>
        </w:r>
        <w:r>
          <w:rPr>
            <w:noProof/>
            <w:webHidden/>
          </w:rPr>
          <w:fldChar w:fldCharType="separate"/>
        </w:r>
        <w:r>
          <w:rPr>
            <w:noProof/>
            <w:webHidden/>
          </w:rPr>
          <w:t>3</w:t>
        </w:r>
        <w:r>
          <w:rPr>
            <w:noProof/>
            <w:webHidden/>
          </w:rPr>
          <w:fldChar w:fldCharType="end"/>
        </w:r>
      </w:hyperlink>
    </w:p>
    <w:p w14:paraId="6668E057" w14:textId="46E3134B"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2" w:history="1">
        <w:r w:rsidRPr="00121093">
          <w:rPr>
            <w:rStyle w:val="Hyperlink"/>
            <w:b/>
            <w:bCs/>
            <w:noProof/>
          </w:rPr>
          <w:t>Figure 3.</w:t>
        </w:r>
        <w:r w:rsidRPr="00121093">
          <w:rPr>
            <w:rStyle w:val="Hyperlink"/>
            <w:noProof/>
          </w:rPr>
          <w:t xml:space="preserve"> Interactions between regional hazards.</w:t>
        </w:r>
        <w:r>
          <w:rPr>
            <w:noProof/>
            <w:webHidden/>
          </w:rPr>
          <w:tab/>
        </w:r>
        <w:r>
          <w:rPr>
            <w:noProof/>
            <w:webHidden/>
          </w:rPr>
          <w:fldChar w:fldCharType="begin"/>
        </w:r>
        <w:r>
          <w:rPr>
            <w:noProof/>
            <w:webHidden/>
          </w:rPr>
          <w:instrText xml:space="preserve"> PAGEREF _Toc233228242 \h </w:instrText>
        </w:r>
        <w:r>
          <w:rPr>
            <w:noProof/>
            <w:webHidden/>
          </w:rPr>
        </w:r>
        <w:r>
          <w:rPr>
            <w:noProof/>
            <w:webHidden/>
          </w:rPr>
          <w:fldChar w:fldCharType="separate"/>
        </w:r>
        <w:r>
          <w:rPr>
            <w:noProof/>
            <w:webHidden/>
          </w:rPr>
          <w:t>7</w:t>
        </w:r>
        <w:r>
          <w:rPr>
            <w:noProof/>
            <w:webHidden/>
          </w:rPr>
          <w:fldChar w:fldCharType="end"/>
        </w:r>
      </w:hyperlink>
    </w:p>
    <w:p w14:paraId="6073587F" w14:textId="7E1E7F98"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3" w:history="1">
        <w:r w:rsidRPr="00121093">
          <w:rPr>
            <w:rStyle w:val="Hyperlink"/>
            <w:b/>
            <w:bCs/>
            <w:noProof/>
          </w:rPr>
          <w:t>Figure 4.</w:t>
        </w:r>
        <w:r w:rsidRPr="00121093">
          <w:rPr>
            <w:rStyle w:val="Hyperlink"/>
            <w:noProof/>
          </w:rPr>
          <w:t xml:space="preserve"> Relative SLR trend at Bridgeport, CT</w:t>
        </w:r>
        <w:r>
          <w:rPr>
            <w:noProof/>
            <w:webHidden/>
          </w:rPr>
          <w:tab/>
        </w:r>
        <w:r>
          <w:rPr>
            <w:noProof/>
            <w:webHidden/>
          </w:rPr>
          <w:fldChar w:fldCharType="begin"/>
        </w:r>
        <w:r>
          <w:rPr>
            <w:noProof/>
            <w:webHidden/>
          </w:rPr>
          <w:instrText xml:space="preserve"> PAGEREF _Toc233228243 \h </w:instrText>
        </w:r>
        <w:r>
          <w:rPr>
            <w:noProof/>
            <w:webHidden/>
          </w:rPr>
        </w:r>
        <w:r>
          <w:rPr>
            <w:noProof/>
            <w:webHidden/>
          </w:rPr>
          <w:fldChar w:fldCharType="separate"/>
        </w:r>
        <w:r>
          <w:rPr>
            <w:noProof/>
            <w:webHidden/>
          </w:rPr>
          <w:t>18</w:t>
        </w:r>
        <w:r>
          <w:rPr>
            <w:noProof/>
            <w:webHidden/>
          </w:rPr>
          <w:fldChar w:fldCharType="end"/>
        </w:r>
      </w:hyperlink>
    </w:p>
    <w:p w14:paraId="4416F9BF" w14:textId="1274B64F"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4" w:history="1">
        <w:r w:rsidRPr="00121093">
          <w:rPr>
            <w:rStyle w:val="Hyperlink"/>
            <w:b/>
            <w:bCs/>
            <w:noProof/>
          </w:rPr>
          <w:t>Figure 5.</w:t>
        </w:r>
        <w:r w:rsidRPr="00121093">
          <w:rPr>
            <w:rStyle w:val="Hyperlink"/>
            <w:noProof/>
          </w:rPr>
          <w:t xml:space="preserve"> Storm Surge Flooding Diagram (NOAA)</w:t>
        </w:r>
        <w:r>
          <w:rPr>
            <w:noProof/>
            <w:webHidden/>
          </w:rPr>
          <w:tab/>
        </w:r>
        <w:r>
          <w:rPr>
            <w:noProof/>
            <w:webHidden/>
          </w:rPr>
          <w:fldChar w:fldCharType="begin"/>
        </w:r>
        <w:r>
          <w:rPr>
            <w:noProof/>
            <w:webHidden/>
          </w:rPr>
          <w:instrText xml:space="preserve"> PAGEREF _Toc233228244 \h </w:instrText>
        </w:r>
        <w:r>
          <w:rPr>
            <w:noProof/>
            <w:webHidden/>
          </w:rPr>
        </w:r>
        <w:r>
          <w:rPr>
            <w:noProof/>
            <w:webHidden/>
          </w:rPr>
          <w:fldChar w:fldCharType="separate"/>
        </w:r>
        <w:r>
          <w:rPr>
            <w:noProof/>
            <w:webHidden/>
          </w:rPr>
          <w:t>20</w:t>
        </w:r>
        <w:r>
          <w:rPr>
            <w:noProof/>
            <w:webHidden/>
          </w:rPr>
          <w:fldChar w:fldCharType="end"/>
        </w:r>
      </w:hyperlink>
    </w:p>
    <w:p w14:paraId="4077E6A9" w14:textId="0D2F2D58"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5" w:history="1">
        <w:r w:rsidRPr="00121093">
          <w:rPr>
            <w:rStyle w:val="Hyperlink"/>
            <w:b/>
            <w:bCs/>
            <w:noProof/>
          </w:rPr>
          <w:t>Figure 6.</w:t>
        </w:r>
        <w:r w:rsidRPr="00121093">
          <w:rPr>
            <w:rStyle w:val="Hyperlink"/>
            <w:noProof/>
          </w:rPr>
          <w:t xml:space="preserve"> NOAA SLOSH Hurricane Inundation Zone Extents</w:t>
        </w:r>
        <w:r>
          <w:rPr>
            <w:noProof/>
            <w:webHidden/>
          </w:rPr>
          <w:tab/>
        </w:r>
        <w:r>
          <w:rPr>
            <w:noProof/>
            <w:webHidden/>
          </w:rPr>
          <w:fldChar w:fldCharType="begin"/>
        </w:r>
        <w:r>
          <w:rPr>
            <w:noProof/>
            <w:webHidden/>
          </w:rPr>
          <w:instrText xml:space="preserve"> PAGEREF _Toc233228245 \h </w:instrText>
        </w:r>
        <w:r>
          <w:rPr>
            <w:noProof/>
            <w:webHidden/>
          </w:rPr>
        </w:r>
        <w:r>
          <w:rPr>
            <w:noProof/>
            <w:webHidden/>
          </w:rPr>
          <w:fldChar w:fldCharType="separate"/>
        </w:r>
        <w:r>
          <w:rPr>
            <w:noProof/>
            <w:webHidden/>
          </w:rPr>
          <w:t>30</w:t>
        </w:r>
        <w:r>
          <w:rPr>
            <w:noProof/>
            <w:webHidden/>
          </w:rPr>
          <w:fldChar w:fldCharType="end"/>
        </w:r>
      </w:hyperlink>
    </w:p>
    <w:p w14:paraId="52D8A5CE" w14:textId="0F940F65"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6" w:history="1">
        <w:r w:rsidRPr="00121093">
          <w:rPr>
            <w:rStyle w:val="Hyperlink"/>
            <w:b/>
            <w:bCs/>
            <w:noProof/>
          </w:rPr>
          <w:t>Figure 7.</w:t>
        </w:r>
        <w:r w:rsidRPr="00121093">
          <w:rPr>
            <w:rStyle w:val="Hyperlink"/>
            <w:noProof/>
          </w:rPr>
          <w:t xml:space="preserve"> Tropical Cyclone Tracks Intersecting the WestCOG region</w:t>
        </w:r>
        <w:r>
          <w:rPr>
            <w:noProof/>
            <w:webHidden/>
          </w:rPr>
          <w:tab/>
        </w:r>
        <w:r>
          <w:rPr>
            <w:noProof/>
            <w:webHidden/>
          </w:rPr>
          <w:fldChar w:fldCharType="begin"/>
        </w:r>
        <w:r>
          <w:rPr>
            <w:noProof/>
            <w:webHidden/>
          </w:rPr>
          <w:instrText xml:space="preserve"> PAGEREF _Toc233228246 \h </w:instrText>
        </w:r>
        <w:r>
          <w:rPr>
            <w:noProof/>
            <w:webHidden/>
          </w:rPr>
        </w:r>
        <w:r>
          <w:rPr>
            <w:noProof/>
            <w:webHidden/>
          </w:rPr>
          <w:fldChar w:fldCharType="separate"/>
        </w:r>
        <w:r>
          <w:rPr>
            <w:noProof/>
            <w:webHidden/>
          </w:rPr>
          <w:t>31</w:t>
        </w:r>
        <w:r>
          <w:rPr>
            <w:noProof/>
            <w:webHidden/>
          </w:rPr>
          <w:fldChar w:fldCharType="end"/>
        </w:r>
      </w:hyperlink>
    </w:p>
    <w:p w14:paraId="5C5DA374" w14:textId="533AF1CA"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7" w:history="1">
        <w:r w:rsidRPr="00121093">
          <w:rPr>
            <w:rStyle w:val="Hyperlink"/>
            <w:b/>
            <w:bCs/>
            <w:noProof/>
          </w:rPr>
          <w:t>Figure 8.</w:t>
        </w:r>
        <w:r w:rsidRPr="00121093">
          <w:rPr>
            <w:rStyle w:val="Hyperlink"/>
            <w:noProof/>
          </w:rPr>
          <w:t xml:space="preserve"> Historical Tornado Tracks Intersecting with WestCOG</w:t>
        </w:r>
        <w:r>
          <w:rPr>
            <w:noProof/>
            <w:webHidden/>
          </w:rPr>
          <w:tab/>
        </w:r>
        <w:r>
          <w:rPr>
            <w:noProof/>
            <w:webHidden/>
          </w:rPr>
          <w:fldChar w:fldCharType="begin"/>
        </w:r>
        <w:r>
          <w:rPr>
            <w:noProof/>
            <w:webHidden/>
          </w:rPr>
          <w:instrText xml:space="preserve"> PAGEREF _Toc233228247 \h </w:instrText>
        </w:r>
        <w:r>
          <w:rPr>
            <w:noProof/>
            <w:webHidden/>
          </w:rPr>
        </w:r>
        <w:r>
          <w:rPr>
            <w:noProof/>
            <w:webHidden/>
          </w:rPr>
          <w:fldChar w:fldCharType="separate"/>
        </w:r>
        <w:r>
          <w:rPr>
            <w:noProof/>
            <w:webHidden/>
          </w:rPr>
          <w:t>32</w:t>
        </w:r>
        <w:r>
          <w:rPr>
            <w:noProof/>
            <w:webHidden/>
          </w:rPr>
          <w:fldChar w:fldCharType="end"/>
        </w:r>
      </w:hyperlink>
    </w:p>
    <w:p w14:paraId="0F548E42" w14:textId="0E42C4BA"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8" w:history="1">
        <w:r w:rsidRPr="00121093">
          <w:rPr>
            <w:rStyle w:val="Hyperlink"/>
            <w:b/>
            <w:bCs/>
            <w:noProof/>
          </w:rPr>
          <w:t>Figure 9.</w:t>
        </w:r>
        <w:r w:rsidRPr="00121093">
          <w:rPr>
            <w:rStyle w:val="Hyperlink"/>
            <w:noProof/>
          </w:rPr>
          <w:t xml:space="preserve"> CIRCA Flood CCVI Flood Vulnerability</w:t>
        </w:r>
        <w:r>
          <w:rPr>
            <w:noProof/>
            <w:webHidden/>
          </w:rPr>
          <w:tab/>
        </w:r>
        <w:r>
          <w:rPr>
            <w:noProof/>
            <w:webHidden/>
          </w:rPr>
          <w:fldChar w:fldCharType="begin"/>
        </w:r>
        <w:r>
          <w:rPr>
            <w:noProof/>
            <w:webHidden/>
          </w:rPr>
          <w:instrText xml:space="preserve"> PAGEREF _Toc233228248 \h </w:instrText>
        </w:r>
        <w:r>
          <w:rPr>
            <w:noProof/>
            <w:webHidden/>
          </w:rPr>
        </w:r>
        <w:r>
          <w:rPr>
            <w:noProof/>
            <w:webHidden/>
          </w:rPr>
          <w:fldChar w:fldCharType="separate"/>
        </w:r>
        <w:r>
          <w:rPr>
            <w:noProof/>
            <w:webHidden/>
          </w:rPr>
          <w:t>33</w:t>
        </w:r>
        <w:r>
          <w:rPr>
            <w:noProof/>
            <w:webHidden/>
          </w:rPr>
          <w:fldChar w:fldCharType="end"/>
        </w:r>
      </w:hyperlink>
    </w:p>
    <w:p w14:paraId="39E229C8" w14:textId="35C9BF89"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49" w:history="1">
        <w:r w:rsidRPr="00121093">
          <w:rPr>
            <w:rStyle w:val="Hyperlink"/>
            <w:b/>
            <w:bCs/>
            <w:noProof/>
          </w:rPr>
          <w:t>Figure 10.</w:t>
        </w:r>
        <w:r w:rsidRPr="00121093">
          <w:rPr>
            <w:rStyle w:val="Hyperlink"/>
            <w:noProof/>
          </w:rPr>
          <w:t xml:space="preserve"> Floodplains in WestCOG</w:t>
        </w:r>
        <w:r>
          <w:rPr>
            <w:noProof/>
            <w:webHidden/>
          </w:rPr>
          <w:tab/>
        </w:r>
        <w:r>
          <w:rPr>
            <w:noProof/>
            <w:webHidden/>
          </w:rPr>
          <w:fldChar w:fldCharType="begin"/>
        </w:r>
        <w:r>
          <w:rPr>
            <w:noProof/>
            <w:webHidden/>
          </w:rPr>
          <w:instrText xml:space="preserve"> PAGEREF _Toc233228249 \h </w:instrText>
        </w:r>
        <w:r>
          <w:rPr>
            <w:noProof/>
            <w:webHidden/>
          </w:rPr>
        </w:r>
        <w:r>
          <w:rPr>
            <w:noProof/>
            <w:webHidden/>
          </w:rPr>
          <w:fldChar w:fldCharType="separate"/>
        </w:r>
        <w:r>
          <w:rPr>
            <w:noProof/>
            <w:webHidden/>
          </w:rPr>
          <w:t>34</w:t>
        </w:r>
        <w:r>
          <w:rPr>
            <w:noProof/>
            <w:webHidden/>
          </w:rPr>
          <w:fldChar w:fldCharType="end"/>
        </w:r>
      </w:hyperlink>
    </w:p>
    <w:p w14:paraId="3469B327" w14:textId="173CFB8E"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0" w:history="1">
        <w:r w:rsidRPr="00121093">
          <w:rPr>
            <w:rStyle w:val="Hyperlink"/>
            <w:b/>
            <w:bCs/>
            <w:noProof/>
          </w:rPr>
          <w:t>Figure 11.</w:t>
        </w:r>
        <w:r w:rsidRPr="00121093">
          <w:rPr>
            <w:rStyle w:val="Hyperlink"/>
            <w:noProof/>
          </w:rPr>
          <w:t xml:space="preserve"> Baseline MHHW and MHHW with SLR Conditions in WestCOG</w:t>
        </w:r>
        <w:r>
          <w:rPr>
            <w:noProof/>
            <w:webHidden/>
          </w:rPr>
          <w:tab/>
        </w:r>
        <w:r>
          <w:rPr>
            <w:noProof/>
            <w:webHidden/>
          </w:rPr>
          <w:fldChar w:fldCharType="begin"/>
        </w:r>
        <w:r>
          <w:rPr>
            <w:noProof/>
            <w:webHidden/>
          </w:rPr>
          <w:instrText xml:space="preserve"> PAGEREF _Toc233228250 \h </w:instrText>
        </w:r>
        <w:r>
          <w:rPr>
            <w:noProof/>
            <w:webHidden/>
          </w:rPr>
        </w:r>
        <w:r>
          <w:rPr>
            <w:noProof/>
            <w:webHidden/>
          </w:rPr>
          <w:fldChar w:fldCharType="separate"/>
        </w:r>
        <w:r>
          <w:rPr>
            <w:noProof/>
            <w:webHidden/>
          </w:rPr>
          <w:t>35</w:t>
        </w:r>
        <w:r>
          <w:rPr>
            <w:noProof/>
            <w:webHidden/>
          </w:rPr>
          <w:fldChar w:fldCharType="end"/>
        </w:r>
      </w:hyperlink>
    </w:p>
    <w:p w14:paraId="560A9C4F" w14:textId="0E549166"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1" w:history="1">
        <w:r w:rsidRPr="00121093">
          <w:rPr>
            <w:rStyle w:val="Hyperlink"/>
            <w:b/>
            <w:bCs/>
            <w:noProof/>
          </w:rPr>
          <w:t>Figure 12.</w:t>
        </w:r>
        <w:r w:rsidRPr="00121093">
          <w:rPr>
            <w:rStyle w:val="Hyperlink"/>
            <w:noProof/>
          </w:rPr>
          <w:t xml:space="preserve"> Baseline 10-year Storm Surge and 10-year Storm Surge with SLR Condition in WestCOG</w:t>
        </w:r>
        <w:r>
          <w:rPr>
            <w:noProof/>
            <w:webHidden/>
          </w:rPr>
          <w:tab/>
        </w:r>
        <w:r>
          <w:rPr>
            <w:noProof/>
            <w:webHidden/>
          </w:rPr>
          <w:fldChar w:fldCharType="begin"/>
        </w:r>
        <w:r>
          <w:rPr>
            <w:noProof/>
            <w:webHidden/>
          </w:rPr>
          <w:instrText xml:space="preserve"> PAGEREF _Toc233228251 \h </w:instrText>
        </w:r>
        <w:r>
          <w:rPr>
            <w:noProof/>
            <w:webHidden/>
          </w:rPr>
        </w:r>
        <w:r>
          <w:rPr>
            <w:noProof/>
            <w:webHidden/>
          </w:rPr>
          <w:fldChar w:fldCharType="separate"/>
        </w:r>
        <w:r>
          <w:rPr>
            <w:noProof/>
            <w:webHidden/>
          </w:rPr>
          <w:t>36</w:t>
        </w:r>
        <w:r>
          <w:rPr>
            <w:noProof/>
            <w:webHidden/>
          </w:rPr>
          <w:fldChar w:fldCharType="end"/>
        </w:r>
      </w:hyperlink>
    </w:p>
    <w:p w14:paraId="701B64ED" w14:textId="785AACC4"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2" w:history="1">
        <w:r w:rsidRPr="00121093">
          <w:rPr>
            <w:rStyle w:val="Hyperlink"/>
            <w:b/>
            <w:bCs/>
            <w:noProof/>
          </w:rPr>
          <w:t>Figure 13.</w:t>
        </w:r>
        <w:r w:rsidRPr="00121093">
          <w:rPr>
            <w:rStyle w:val="Hyperlink"/>
            <w:noProof/>
          </w:rPr>
          <w:t xml:space="preserve"> Baseline 30-year Storm Surge and 30-year Storm Surge with SLR Condition in WestCOG</w:t>
        </w:r>
        <w:r>
          <w:rPr>
            <w:noProof/>
            <w:webHidden/>
          </w:rPr>
          <w:tab/>
        </w:r>
        <w:r>
          <w:rPr>
            <w:noProof/>
            <w:webHidden/>
          </w:rPr>
          <w:fldChar w:fldCharType="begin"/>
        </w:r>
        <w:r>
          <w:rPr>
            <w:noProof/>
            <w:webHidden/>
          </w:rPr>
          <w:instrText xml:space="preserve"> PAGEREF _Toc233228252 \h </w:instrText>
        </w:r>
        <w:r>
          <w:rPr>
            <w:noProof/>
            <w:webHidden/>
          </w:rPr>
        </w:r>
        <w:r>
          <w:rPr>
            <w:noProof/>
            <w:webHidden/>
          </w:rPr>
          <w:fldChar w:fldCharType="separate"/>
        </w:r>
        <w:r>
          <w:rPr>
            <w:noProof/>
            <w:webHidden/>
          </w:rPr>
          <w:t>37</w:t>
        </w:r>
        <w:r>
          <w:rPr>
            <w:noProof/>
            <w:webHidden/>
          </w:rPr>
          <w:fldChar w:fldCharType="end"/>
        </w:r>
      </w:hyperlink>
    </w:p>
    <w:p w14:paraId="65FBDD51" w14:textId="08CAAAE4"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3" w:history="1">
        <w:r w:rsidRPr="00121093">
          <w:rPr>
            <w:rStyle w:val="Hyperlink"/>
            <w:b/>
            <w:bCs/>
            <w:noProof/>
          </w:rPr>
          <w:t>Figure 14.</w:t>
        </w:r>
        <w:r w:rsidRPr="00121093">
          <w:rPr>
            <w:rStyle w:val="Hyperlink"/>
            <w:noProof/>
          </w:rPr>
          <w:t xml:space="preserve"> Baseline 100-year Storm Surge and 100-year Storm Surge with SLR Condition in WestCOG</w:t>
        </w:r>
        <w:r>
          <w:rPr>
            <w:noProof/>
            <w:webHidden/>
          </w:rPr>
          <w:tab/>
        </w:r>
        <w:r>
          <w:rPr>
            <w:noProof/>
            <w:webHidden/>
          </w:rPr>
          <w:fldChar w:fldCharType="begin"/>
        </w:r>
        <w:r>
          <w:rPr>
            <w:noProof/>
            <w:webHidden/>
          </w:rPr>
          <w:instrText xml:space="preserve"> PAGEREF _Toc233228253 \h </w:instrText>
        </w:r>
        <w:r>
          <w:rPr>
            <w:noProof/>
            <w:webHidden/>
          </w:rPr>
        </w:r>
        <w:r>
          <w:rPr>
            <w:noProof/>
            <w:webHidden/>
          </w:rPr>
          <w:fldChar w:fldCharType="separate"/>
        </w:r>
        <w:r>
          <w:rPr>
            <w:noProof/>
            <w:webHidden/>
          </w:rPr>
          <w:t>38</w:t>
        </w:r>
        <w:r>
          <w:rPr>
            <w:noProof/>
            <w:webHidden/>
          </w:rPr>
          <w:fldChar w:fldCharType="end"/>
        </w:r>
      </w:hyperlink>
    </w:p>
    <w:p w14:paraId="0A666B22" w14:textId="4F9760C5"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4" w:history="1">
        <w:r w:rsidRPr="00121093">
          <w:rPr>
            <w:rStyle w:val="Hyperlink"/>
            <w:b/>
            <w:bCs/>
            <w:noProof/>
          </w:rPr>
          <w:t>Figure 15.</w:t>
        </w:r>
        <w:r w:rsidRPr="00121093">
          <w:rPr>
            <w:rStyle w:val="Hyperlink"/>
            <w:noProof/>
          </w:rPr>
          <w:t xml:space="preserve"> Baseline 500-year Storm Surge and 500-year Storm Surge with SLR Condition in WestCOG</w:t>
        </w:r>
        <w:r>
          <w:rPr>
            <w:noProof/>
            <w:webHidden/>
          </w:rPr>
          <w:tab/>
        </w:r>
        <w:r>
          <w:rPr>
            <w:noProof/>
            <w:webHidden/>
          </w:rPr>
          <w:fldChar w:fldCharType="begin"/>
        </w:r>
        <w:r>
          <w:rPr>
            <w:noProof/>
            <w:webHidden/>
          </w:rPr>
          <w:instrText xml:space="preserve"> PAGEREF _Toc233228254 \h </w:instrText>
        </w:r>
        <w:r>
          <w:rPr>
            <w:noProof/>
            <w:webHidden/>
          </w:rPr>
        </w:r>
        <w:r>
          <w:rPr>
            <w:noProof/>
            <w:webHidden/>
          </w:rPr>
          <w:fldChar w:fldCharType="separate"/>
        </w:r>
        <w:r>
          <w:rPr>
            <w:noProof/>
            <w:webHidden/>
          </w:rPr>
          <w:t>39</w:t>
        </w:r>
        <w:r>
          <w:rPr>
            <w:noProof/>
            <w:webHidden/>
          </w:rPr>
          <w:fldChar w:fldCharType="end"/>
        </w:r>
      </w:hyperlink>
    </w:p>
    <w:p w14:paraId="1628B0C0" w14:textId="2585D13D"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5" w:history="1">
        <w:r w:rsidRPr="00121093">
          <w:rPr>
            <w:rStyle w:val="Hyperlink"/>
            <w:b/>
            <w:bCs/>
            <w:noProof/>
          </w:rPr>
          <w:t>Figure 16.</w:t>
        </w:r>
        <w:r w:rsidRPr="00121093">
          <w:rPr>
            <w:rStyle w:val="Hyperlink"/>
            <w:noProof/>
          </w:rPr>
          <w:t xml:space="preserve"> MHW Inundation in Baseline Conditions</w:t>
        </w:r>
        <w:r>
          <w:rPr>
            <w:noProof/>
            <w:webHidden/>
          </w:rPr>
          <w:tab/>
        </w:r>
        <w:r>
          <w:rPr>
            <w:noProof/>
            <w:webHidden/>
          </w:rPr>
          <w:fldChar w:fldCharType="begin"/>
        </w:r>
        <w:r>
          <w:rPr>
            <w:noProof/>
            <w:webHidden/>
          </w:rPr>
          <w:instrText xml:space="preserve"> PAGEREF _Toc233228255 \h </w:instrText>
        </w:r>
        <w:r>
          <w:rPr>
            <w:noProof/>
            <w:webHidden/>
          </w:rPr>
        </w:r>
        <w:r>
          <w:rPr>
            <w:noProof/>
            <w:webHidden/>
          </w:rPr>
          <w:fldChar w:fldCharType="separate"/>
        </w:r>
        <w:r>
          <w:rPr>
            <w:noProof/>
            <w:webHidden/>
          </w:rPr>
          <w:t>40</w:t>
        </w:r>
        <w:r>
          <w:rPr>
            <w:noProof/>
            <w:webHidden/>
          </w:rPr>
          <w:fldChar w:fldCharType="end"/>
        </w:r>
      </w:hyperlink>
    </w:p>
    <w:p w14:paraId="32116E79" w14:textId="609BB00A"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6" w:history="1">
        <w:r w:rsidRPr="00121093">
          <w:rPr>
            <w:rStyle w:val="Hyperlink"/>
            <w:b/>
            <w:bCs/>
            <w:noProof/>
          </w:rPr>
          <w:t>Figure 17.</w:t>
        </w:r>
        <w:r w:rsidRPr="00121093">
          <w:rPr>
            <w:rStyle w:val="Hyperlink"/>
            <w:noProof/>
          </w:rPr>
          <w:t xml:space="preserve"> MHW Inundation with 18 inches of SLR</w:t>
        </w:r>
        <w:r>
          <w:rPr>
            <w:noProof/>
            <w:webHidden/>
          </w:rPr>
          <w:tab/>
        </w:r>
        <w:r>
          <w:rPr>
            <w:noProof/>
            <w:webHidden/>
          </w:rPr>
          <w:fldChar w:fldCharType="begin"/>
        </w:r>
        <w:r>
          <w:rPr>
            <w:noProof/>
            <w:webHidden/>
          </w:rPr>
          <w:instrText xml:space="preserve"> PAGEREF _Toc233228256 \h </w:instrText>
        </w:r>
        <w:r>
          <w:rPr>
            <w:noProof/>
            <w:webHidden/>
          </w:rPr>
        </w:r>
        <w:r>
          <w:rPr>
            <w:noProof/>
            <w:webHidden/>
          </w:rPr>
          <w:fldChar w:fldCharType="separate"/>
        </w:r>
        <w:r>
          <w:rPr>
            <w:noProof/>
            <w:webHidden/>
          </w:rPr>
          <w:t>41</w:t>
        </w:r>
        <w:r>
          <w:rPr>
            <w:noProof/>
            <w:webHidden/>
          </w:rPr>
          <w:fldChar w:fldCharType="end"/>
        </w:r>
      </w:hyperlink>
    </w:p>
    <w:p w14:paraId="61C7DEB0" w14:textId="2F504F3F"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7" w:history="1">
        <w:r w:rsidRPr="00121093">
          <w:rPr>
            <w:rStyle w:val="Hyperlink"/>
            <w:b/>
            <w:bCs/>
            <w:noProof/>
          </w:rPr>
          <w:t>Figure 18.</w:t>
        </w:r>
        <w:r w:rsidRPr="00121093">
          <w:rPr>
            <w:rStyle w:val="Hyperlink"/>
            <w:noProof/>
          </w:rPr>
          <w:t xml:space="preserve"> Average Monthly Maximum Inundation in Baseline Conditions</w:t>
        </w:r>
        <w:r>
          <w:rPr>
            <w:noProof/>
            <w:webHidden/>
          </w:rPr>
          <w:tab/>
        </w:r>
        <w:r>
          <w:rPr>
            <w:noProof/>
            <w:webHidden/>
          </w:rPr>
          <w:fldChar w:fldCharType="begin"/>
        </w:r>
        <w:r>
          <w:rPr>
            <w:noProof/>
            <w:webHidden/>
          </w:rPr>
          <w:instrText xml:space="preserve"> PAGEREF _Toc233228257 \h </w:instrText>
        </w:r>
        <w:r>
          <w:rPr>
            <w:noProof/>
            <w:webHidden/>
          </w:rPr>
        </w:r>
        <w:r>
          <w:rPr>
            <w:noProof/>
            <w:webHidden/>
          </w:rPr>
          <w:fldChar w:fldCharType="separate"/>
        </w:r>
        <w:r>
          <w:rPr>
            <w:noProof/>
            <w:webHidden/>
          </w:rPr>
          <w:t>42</w:t>
        </w:r>
        <w:r>
          <w:rPr>
            <w:noProof/>
            <w:webHidden/>
          </w:rPr>
          <w:fldChar w:fldCharType="end"/>
        </w:r>
      </w:hyperlink>
    </w:p>
    <w:p w14:paraId="4BB6F1C2" w14:textId="206573DA"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8" w:history="1">
        <w:r w:rsidRPr="00121093">
          <w:rPr>
            <w:rStyle w:val="Hyperlink"/>
            <w:b/>
            <w:bCs/>
            <w:noProof/>
          </w:rPr>
          <w:t>Figure 19.</w:t>
        </w:r>
        <w:r w:rsidRPr="00121093">
          <w:rPr>
            <w:rStyle w:val="Hyperlink"/>
            <w:noProof/>
          </w:rPr>
          <w:t xml:space="preserve"> Average Monthly Maximum Inundation with 18 inches of SLR</w:t>
        </w:r>
        <w:r>
          <w:rPr>
            <w:noProof/>
            <w:webHidden/>
          </w:rPr>
          <w:tab/>
        </w:r>
        <w:r>
          <w:rPr>
            <w:noProof/>
            <w:webHidden/>
          </w:rPr>
          <w:fldChar w:fldCharType="begin"/>
        </w:r>
        <w:r>
          <w:rPr>
            <w:noProof/>
            <w:webHidden/>
          </w:rPr>
          <w:instrText xml:space="preserve"> PAGEREF _Toc233228258 \h </w:instrText>
        </w:r>
        <w:r>
          <w:rPr>
            <w:noProof/>
            <w:webHidden/>
          </w:rPr>
        </w:r>
        <w:r>
          <w:rPr>
            <w:noProof/>
            <w:webHidden/>
          </w:rPr>
          <w:fldChar w:fldCharType="separate"/>
        </w:r>
        <w:r>
          <w:rPr>
            <w:noProof/>
            <w:webHidden/>
          </w:rPr>
          <w:t>43</w:t>
        </w:r>
        <w:r>
          <w:rPr>
            <w:noProof/>
            <w:webHidden/>
          </w:rPr>
          <w:fldChar w:fldCharType="end"/>
        </w:r>
      </w:hyperlink>
    </w:p>
    <w:p w14:paraId="446587ED" w14:textId="5A9F7815"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59" w:history="1">
        <w:r w:rsidRPr="00121093">
          <w:rPr>
            <w:rStyle w:val="Hyperlink"/>
            <w:b/>
            <w:bCs/>
            <w:noProof/>
          </w:rPr>
          <w:t>Figure 20.</w:t>
        </w:r>
        <w:r w:rsidRPr="00121093">
          <w:rPr>
            <w:rStyle w:val="Hyperlink"/>
            <w:noProof/>
          </w:rPr>
          <w:t xml:space="preserve"> Heat CCVI in WestCOG</w:t>
        </w:r>
        <w:r>
          <w:rPr>
            <w:noProof/>
            <w:webHidden/>
          </w:rPr>
          <w:tab/>
        </w:r>
        <w:r>
          <w:rPr>
            <w:noProof/>
            <w:webHidden/>
          </w:rPr>
          <w:fldChar w:fldCharType="begin"/>
        </w:r>
        <w:r>
          <w:rPr>
            <w:noProof/>
            <w:webHidden/>
          </w:rPr>
          <w:instrText xml:space="preserve"> PAGEREF _Toc233228259 \h </w:instrText>
        </w:r>
        <w:r>
          <w:rPr>
            <w:noProof/>
            <w:webHidden/>
          </w:rPr>
        </w:r>
        <w:r>
          <w:rPr>
            <w:noProof/>
            <w:webHidden/>
          </w:rPr>
          <w:fldChar w:fldCharType="separate"/>
        </w:r>
        <w:r>
          <w:rPr>
            <w:noProof/>
            <w:webHidden/>
          </w:rPr>
          <w:t>44</w:t>
        </w:r>
        <w:r>
          <w:rPr>
            <w:noProof/>
            <w:webHidden/>
          </w:rPr>
          <w:fldChar w:fldCharType="end"/>
        </w:r>
      </w:hyperlink>
    </w:p>
    <w:p w14:paraId="061C70E2" w14:textId="3F417277" w:rsidR="00283D08" w:rsidRDefault="00283D08"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8260" w:history="1">
        <w:r w:rsidRPr="00121093">
          <w:rPr>
            <w:rStyle w:val="Hyperlink"/>
            <w:b/>
            <w:bCs/>
            <w:noProof/>
          </w:rPr>
          <w:t>Figure 21.</w:t>
        </w:r>
        <w:r w:rsidRPr="00121093">
          <w:rPr>
            <w:rStyle w:val="Hyperlink"/>
            <w:noProof/>
          </w:rPr>
          <w:t xml:space="preserve"> USDA WUI areas and Non-WUI Area Housing Density</w:t>
        </w:r>
        <w:r>
          <w:rPr>
            <w:noProof/>
            <w:webHidden/>
          </w:rPr>
          <w:tab/>
        </w:r>
        <w:r>
          <w:rPr>
            <w:noProof/>
            <w:webHidden/>
          </w:rPr>
          <w:fldChar w:fldCharType="begin"/>
        </w:r>
        <w:r>
          <w:rPr>
            <w:noProof/>
            <w:webHidden/>
          </w:rPr>
          <w:instrText xml:space="preserve"> PAGEREF _Toc233228260 \h </w:instrText>
        </w:r>
        <w:r>
          <w:rPr>
            <w:noProof/>
            <w:webHidden/>
          </w:rPr>
        </w:r>
        <w:r>
          <w:rPr>
            <w:noProof/>
            <w:webHidden/>
          </w:rPr>
          <w:fldChar w:fldCharType="separate"/>
        </w:r>
        <w:r>
          <w:rPr>
            <w:noProof/>
            <w:webHidden/>
          </w:rPr>
          <w:t>45</w:t>
        </w:r>
        <w:r>
          <w:rPr>
            <w:noProof/>
            <w:webHidden/>
          </w:rPr>
          <w:fldChar w:fldCharType="end"/>
        </w:r>
      </w:hyperlink>
    </w:p>
    <w:p w14:paraId="31B574D6" w14:textId="3DD58E60" w:rsidR="00706D56" w:rsidRPr="00843358" w:rsidRDefault="00F97362" w:rsidP="00162924">
      <w:pPr>
        <w:pStyle w:val="Heading2"/>
        <w:spacing w:before="240" w:after="240"/>
        <w:rPr>
          <w:rFonts w:hint="eastAsia"/>
        </w:rPr>
      </w:pPr>
      <w:r>
        <w:rPr>
          <w:rFonts w:ascii="Lato" w:hAnsi="Lato" w:cs="Proxima Nova Semibold"/>
          <w:caps/>
          <w:color w:val="000000" w:themeColor="text2" w:themeShade="BF"/>
          <w:position w:val="-2"/>
          <w:szCs w:val="24"/>
        </w:rPr>
        <w:fldChar w:fldCharType="end"/>
      </w:r>
      <w:r w:rsidR="008E6B95" w:rsidRPr="00843358">
        <w:t>Tables</w:t>
      </w:r>
    </w:p>
    <w:p w14:paraId="57B236EC" w14:textId="6067594B" w:rsidR="00733792" w:rsidRDefault="00F9736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r>
        <w:rPr>
          <w:rFonts w:asciiTheme="majorHAnsi" w:hAnsiTheme="majorHAnsi"/>
          <w:color w:val="000000" w:themeColor="text2" w:themeShade="BF"/>
        </w:rPr>
        <w:fldChar w:fldCharType="begin"/>
      </w:r>
      <w:r>
        <w:rPr>
          <w:rFonts w:asciiTheme="majorHAnsi" w:hAnsiTheme="majorHAnsi"/>
          <w:color w:val="000000" w:themeColor="text2" w:themeShade="BF"/>
        </w:rPr>
        <w:instrText xml:space="preserve"> TOC \h \z \c "Table" </w:instrText>
      </w:r>
      <w:r>
        <w:rPr>
          <w:rFonts w:asciiTheme="majorHAnsi" w:hAnsiTheme="majorHAnsi"/>
          <w:color w:val="000000" w:themeColor="text2" w:themeShade="BF"/>
        </w:rPr>
        <w:fldChar w:fldCharType="separate"/>
      </w:r>
      <w:hyperlink w:anchor="_Toc233227494" w:history="1">
        <w:r w:rsidR="00733792" w:rsidRPr="00A10565">
          <w:rPr>
            <w:rStyle w:val="Hyperlink"/>
            <w:b/>
            <w:bCs/>
            <w:noProof/>
          </w:rPr>
          <w:t>Table 1.</w:t>
        </w:r>
        <w:r w:rsidR="00733792" w:rsidRPr="00A10565">
          <w:rPr>
            <w:rStyle w:val="Hyperlink"/>
            <w:noProof/>
          </w:rPr>
          <w:t xml:space="preserve"> Public Act 25-33 Required Hazards and Assessment Alignment</w:t>
        </w:r>
        <w:r w:rsidR="00733792">
          <w:rPr>
            <w:noProof/>
            <w:webHidden/>
          </w:rPr>
          <w:tab/>
        </w:r>
        <w:r w:rsidR="00733792">
          <w:rPr>
            <w:noProof/>
            <w:webHidden/>
          </w:rPr>
          <w:fldChar w:fldCharType="begin"/>
        </w:r>
        <w:r w:rsidR="00733792">
          <w:rPr>
            <w:noProof/>
            <w:webHidden/>
          </w:rPr>
          <w:instrText xml:space="preserve"> PAGEREF _Toc233227494 \h </w:instrText>
        </w:r>
        <w:r w:rsidR="00733792">
          <w:rPr>
            <w:noProof/>
            <w:webHidden/>
          </w:rPr>
        </w:r>
        <w:r w:rsidR="00733792">
          <w:rPr>
            <w:noProof/>
            <w:webHidden/>
          </w:rPr>
          <w:fldChar w:fldCharType="separate"/>
        </w:r>
        <w:r w:rsidR="00733792">
          <w:rPr>
            <w:noProof/>
            <w:webHidden/>
          </w:rPr>
          <w:t>i</w:t>
        </w:r>
        <w:r w:rsidR="00733792">
          <w:rPr>
            <w:noProof/>
            <w:webHidden/>
          </w:rPr>
          <w:fldChar w:fldCharType="end"/>
        </w:r>
      </w:hyperlink>
    </w:p>
    <w:p w14:paraId="6AF1D293" w14:textId="70165FFB" w:rsidR="00733792" w:rsidRDefault="0073379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7495" w:history="1">
        <w:r w:rsidRPr="00A10565">
          <w:rPr>
            <w:rStyle w:val="Hyperlink"/>
            <w:b/>
            <w:bCs/>
            <w:noProof/>
          </w:rPr>
          <w:t>Table 2.</w:t>
        </w:r>
        <w:r w:rsidRPr="00A10565">
          <w:rPr>
            <w:rStyle w:val="Hyperlink"/>
            <w:noProof/>
          </w:rPr>
          <w:t xml:space="preserve"> Community Categorization within WestCOG</w:t>
        </w:r>
        <w:r>
          <w:rPr>
            <w:noProof/>
            <w:webHidden/>
          </w:rPr>
          <w:tab/>
        </w:r>
        <w:r>
          <w:rPr>
            <w:noProof/>
            <w:webHidden/>
          </w:rPr>
          <w:fldChar w:fldCharType="begin"/>
        </w:r>
        <w:r>
          <w:rPr>
            <w:noProof/>
            <w:webHidden/>
          </w:rPr>
          <w:instrText xml:space="preserve"> PAGEREF _Toc233227495 \h </w:instrText>
        </w:r>
        <w:r>
          <w:rPr>
            <w:noProof/>
            <w:webHidden/>
          </w:rPr>
        </w:r>
        <w:r>
          <w:rPr>
            <w:noProof/>
            <w:webHidden/>
          </w:rPr>
          <w:fldChar w:fldCharType="separate"/>
        </w:r>
        <w:r>
          <w:rPr>
            <w:noProof/>
            <w:webHidden/>
          </w:rPr>
          <w:t>3</w:t>
        </w:r>
        <w:r>
          <w:rPr>
            <w:noProof/>
            <w:webHidden/>
          </w:rPr>
          <w:fldChar w:fldCharType="end"/>
        </w:r>
      </w:hyperlink>
    </w:p>
    <w:p w14:paraId="5A283F3F" w14:textId="66F34289" w:rsidR="00733792" w:rsidRDefault="0073379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7496" w:history="1">
        <w:r w:rsidRPr="00A10565">
          <w:rPr>
            <w:rStyle w:val="Hyperlink"/>
            <w:b/>
            <w:bCs/>
            <w:noProof/>
          </w:rPr>
          <w:t>Table 3.</w:t>
        </w:r>
        <w:r w:rsidRPr="00A10565">
          <w:rPr>
            <w:rStyle w:val="Hyperlink"/>
            <w:noProof/>
          </w:rPr>
          <w:t xml:space="preserve"> Summary of hazards, descriptions, and data sources.</w:t>
        </w:r>
        <w:r>
          <w:rPr>
            <w:noProof/>
            <w:webHidden/>
          </w:rPr>
          <w:tab/>
        </w:r>
        <w:r>
          <w:rPr>
            <w:noProof/>
            <w:webHidden/>
          </w:rPr>
          <w:fldChar w:fldCharType="begin"/>
        </w:r>
        <w:r>
          <w:rPr>
            <w:noProof/>
            <w:webHidden/>
          </w:rPr>
          <w:instrText xml:space="preserve"> PAGEREF _Toc233227496 \h </w:instrText>
        </w:r>
        <w:r>
          <w:rPr>
            <w:noProof/>
            <w:webHidden/>
          </w:rPr>
        </w:r>
        <w:r>
          <w:rPr>
            <w:noProof/>
            <w:webHidden/>
          </w:rPr>
          <w:fldChar w:fldCharType="separate"/>
        </w:r>
        <w:r>
          <w:rPr>
            <w:noProof/>
            <w:webHidden/>
          </w:rPr>
          <w:t>5</w:t>
        </w:r>
        <w:r>
          <w:rPr>
            <w:noProof/>
            <w:webHidden/>
          </w:rPr>
          <w:fldChar w:fldCharType="end"/>
        </w:r>
      </w:hyperlink>
    </w:p>
    <w:p w14:paraId="550F38D0" w14:textId="1A68278A" w:rsidR="00733792" w:rsidRDefault="0073379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7497" w:history="1">
        <w:r w:rsidRPr="00A10565">
          <w:rPr>
            <w:rStyle w:val="Hyperlink"/>
            <w:b/>
            <w:bCs/>
            <w:noProof/>
          </w:rPr>
          <w:t>Table 4.</w:t>
        </w:r>
        <w:r w:rsidRPr="00A10565">
          <w:rPr>
            <w:rStyle w:val="Hyperlink"/>
            <w:noProof/>
          </w:rPr>
          <w:t xml:space="preserve"> Hazard Climatology from NOAA Storm Prediction Center.</w:t>
        </w:r>
        <w:r>
          <w:rPr>
            <w:noProof/>
            <w:webHidden/>
          </w:rPr>
          <w:tab/>
        </w:r>
        <w:r>
          <w:rPr>
            <w:noProof/>
            <w:webHidden/>
          </w:rPr>
          <w:fldChar w:fldCharType="begin"/>
        </w:r>
        <w:r>
          <w:rPr>
            <w:noProof/>
            <w:webHidden/>
          </w:rPr>
          <w:instrText xml:space="preserve"> PAGEREF _Toc233227497 \h </w:instrText>
        </w:r>
        <w:r>
          <w:rPr>
            <w:noProof/>
            <w:webHidden/>
          </w:rPr>
        </w:r>
        <w:r>
          <w:rPr>
            <w:noProof/>
            <w:webHidden/>
          </w:rPr>
          <w:fldChar w:fldCharType="separate"/>
        </w:r>
        <w:r>
          <w:rPr>
            <w:noProof/>
            <w:webHidden/>
          </w:rPr>
          <w:t>9</w:t>
        </w:r>
        <w:r>
          <w:rPr>
            <w:noProof/>
            <w:webHidden/>
          </w:rPr>
          <w:fldChar w:fldCharType="end"/>
        </w:r>
      </w:hyperlink>
    </w:p>
    <w:p w14:paraId="4403771A" w14:textId="2410F049" w:rsidR="00733792" w:rsidRDefault="0073379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7498" w:history="1">
        <w:r w:rsidRPr="00A10565">
          <w:rPr>
            <w:rStyle w:val="Hyperlink"/>
            <w:b/>
            <w:bCs/>
            <w:noProof/>
          </w:rPr>
          <w:t>Table 5.</w:t>
        </w:r>
        <w:r w:rsidRPr="00A10565">
          <w:rPr>
            <w:rStyle w:val="Hyperlink"/>
            <w:noProof/>
          </w:rPr>
          <w:t xml:space="preserve"> Comparison of 24-hour PFEs (inches) for selected ARIs (years) for Norwalk, CT.</w:t>
        </w:r>
        <w:r>
          <w:rPr>
            <w:noProof/>
            <w:webHidden/>
          </w:rPr>
          <w:tab/>
        </w:r>
        <w:r>
          <w:rPr>
            <w:noProof/>
            <w:webHidden/>
          </w:rPr>
          <w:fldChar w:fldCharType="begin"/>
        </w:r>
        <w:r>
          <w:rPr>
            <w:noProof/>
            <w:webHidden/>
          </w:rPr>
          <w:instrText xml:space="preserve"> PAGEREF _Toc233227498 \h </w:instrText>
        </w:r>
        <w:r>
          <w:rPr>
            <w:noProof/>
            <w:webHidden/>
          </w:rPr>
        </w:r>
        <w:r>
          <w:rPr>
            <w:noProof/>
            <w:webHidden/>
          </w:rPr>
          <w:fldChar w:fldCharType="separate"/>
        </w:r>
        <w:r>
          <w:rPr>
            <w:noProof/>
            <w:webHidden/>
          </w:rPr>
          <w:t>13</w:t>
        </w:r>
        <w:r>
          <w:rPr>
            <w:noProof/>
            <w:webHidden/>
          </w:rPr>
          <w:fldChar w:fldCharType="end"/>
        </w:r>
      </w:hyperlink>
    </w:p>
    <w:p w14:paraId="53FCFDBB" w14:textId="5AEA279B" w:rsidR="00733792" w:rsidRDefault="0073379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7499" w:history="1">
        <w:r w:rsidRPr="00A10565">
          <w:rPr>
            <w:rStyle w:val="Hyperlink"/>
            <w:b/>
            <w:bCs/>
            <w:noProof/>
          </w:rPr>
          <w:t>Table 6.</w:t>
        </w:r>
        <w:r w:rsidRPr="00A10565">
          <w:rPr>
            <w:rStyle w:val="Hyperlink"/>
            <w:noProof/>
          </w:rPr>
          <w:t xml:space="preserve"> SLR Visualization Data Available from CT DEEP.</w:t>
        </w:r>
        <w:r>
          <w:rPr>
            <w:noProof/>
            <w:webHidden/>
          </w:rPr>
          <w:tab/>
        </w:r>
        <w:r>
          <w:rPr>
            <w:noProof/>
            <w:webHidden/>
          </w:rPr>
          <w:fldChar w:fldCharType="begin"/>
        </w:r>
        <w:r>
          <w:rPr>
            <w:noProof/>
            <w:webHidden/>
          </w:rPr>
          <w:instrText xml:space="preserve"> PAGEREF _Toc233227499 \h </w:instrText>
        </w:r>
        <w:r>
          <w:rPr>
            <w:noProof/>
            <w:webHidden/>
          </w:rPr>
        </w:r>
        <w:r>
          <w:rPr>
            <w:noProof/>
            <w:webHidden/>
          </w:rPr>
          <w:fldChar w:fldCharType="separate"/>
        </w:r>
        <w:r>
          <w:rPr>
            <w:noProof/>
            <w:webHidden/>
          </w:rPr>
          <w:t>19</w:t>
        </w:r>
        <w:r>
          <w:rPr>
            <w:noProof/>
            <w:webHidden/>
          </w:rPr>
          <w:fldChar w:fldCharType="end"/>
        </w:r>
      </w:hyperlink>
    </w:p>
    <w:p w14:paraId="2B9ECE3E" w14:textId="2BD7C5D5" w:rsidR="00733792" w:rsidRDefault="00733792" w:rsidP="00162924">
      <w:pPr>
        <w:pStyle w:val="TableofFigures"/>
        <w:ind w:left="2160"/>
        <w:rPr>
          <w:rFonts w:asciiTheme="minorHAnsi" w:hAnsiTheme="minorHAnsi" w:cstheme="minorBidi" w:hint="eastAsia"/>
          <w:noProof/>
          <w:color w:val="auto"/>
          <w:kern w:val="2"/>
          <w:position w:val="0"/>
          <w:sz w:val="24"/>
          <w:lang w:eastAsia="en-US"/>
          <w14:ligatures w14:val="standardContextual"/>
        </w:rPr>
      </w:pPr>
      <w:hyperlink w:anchor="_Toc233227500" w:history="1">
        <w:r w:rsidRPr="00A10565">
          <w:rPr>
            <w:rStyle w:val="Hyperlink"/>
            <w:b/>
            <w:bCs/>
            <w:noProof/>
          </w:rPr>
          <w:t>Table 7.</w:t>
        </w:r>
        <w:r w:rsidRPr="00A10565">
          <w:rPr>
            <w:rStyle w:val="Hyperlink"/>
            <w:noProof/>
          </w:rPr>
          <w:t xml:space="preserve"> Annual and Summer Water Availability/Deficit and Recurrence Intervals.</w:t>
        </w:r>
        <w:r>
          <w:rPr>
            <w:noProof/>
            <w:webHidden/>
          </w:rPr>
          <w:tab/>
        </w:r>
        <w:r>
          <w:rPr>
            <w:noProof/>
            <w:webHidden/>
          </w:rPr>
          <w:fldChar w:fldCharType="begin"/>
        </w:r>
        <w:r>
          <w:rPr>
            <w:noProof/>
            <w:webHidden/>
          </w:rPr>
          <w:instrText xml:space="preserve"> PAGEREF _Toc233227500 \h </w:instrText>
        </w:r>
        <w:r>
          <w:rPr>
            <w:noProof/>
            <w:webHidden/>
          </w:rPr>
        </w:r>
        <w:r>
          <w:rPr>
            <w:noProof/>
            <w:webHidden/>
          </w:rPr>
          <w:fldChar w:fldCharType="separate"/>
        </w:r>
        <w:r>
          <w:rPr>
            <w:noProof/>
            <w:webHidden/>
          </w:rPr>
          <w:t>25</w:t>
        </w:r>
        <w:r>
          <w:rPr>
            <w:noProof/>
            <w:webHidden/>
          </w:rPr>
          <w:fldChar w:fldCharType="end"/>
        </w:r>
      </w:hyperlink>
    </w:p>
    <w:p w14:paraId="7B480926" w14:textId="0C3546EA" w:rsidR="003045E3" w:rsidRPr="002508EE" w:rsidRDefault="00F97362" w:rsidP="00162924">
      <w:pPr>
        <w:spacing w:after="0"/>
        <w:ind w:left="2160"/>
        <w:rPr>
          <w:rFonts w:hint="eastAsia"/>
        </w:rPr>
      </w:pPr>
      <w:r>
        <w:rPr>
          <w:rFonts w:asciiTheme="majorHAnsi" w:hAnsiTheme="majorHAnsi" w:cs="Proxima Nova Semibold"/>
          <w:color w:val="000000" w:themeColor="text2" w:themeShade="BF"/>
          <w:position w:val="-2"/>
        </w:rPr>
        <w:fldChar w:fldCharType="end"/>
      </w:r>
    </w:p>
    <w:p w14:paraId="2E1AF15F" w14:textId="1E35DE99" w:rsidR="0036130D" w:rsidRPr="0036130D" w:rsidRDefault="0036130D" w:rsidP="0036130D">
      <w:pPr>
        <w:pStyle w:val="TOCHeading"/>
        <w:spacing w:after="240"/>
        <w:rPr>
          <w:rFonts w:ascii="Lato Black" w:eastAsia="MS Gothic" w:hAnsi="Lato Black" w:cs="Times New Roman" w:hint="eastAsia"/>
          <w:color w:val="528133"/>
          <w:sz w:val="32"/>
          <w:lang w:eastAsia="en-US"/>
        </w:rPr>
      </w:pPr>
      <w:r w:rsidRPr="0036130D">
        <w:rPr>
          <w:rFonts w:ascii="Lato Black" w:eastAsia="MS Gothic" w:hAnsi="Lato Black" w:cs="Times New Roman"/>
          <w:color w:val="528133"/>
          <w:sz w:val="32"/>
          <w:lang w:eastAsia="en-US"/>
        </w:rPr>
        <w:t xml:space="preserve">ACRONYMS/ABBREVIATIONS </w:t>
      </w:r>
    </w:p>
    <w:tbl>
      <w:tblPr>
        <w:tblStyle w:val="ListTable2-Accent31"/>
        <w:tblW w:w="9360" w:type="dxa"/>
        <w:tblLook w:val="04A0" w:firstRow="1" w:lastRow="0" w:firstColumn="1" w:lastColumn="0" w:noHBand="0" w:noVBand="1"/>
      </w:tblPr>
      <w:tblGrid>
        <w:gridCol w:w="2700"/>
        <w:gridCol w:w="6660"/>
      </w:tblGrid>
      <w:tr w:rsidR="003B75C3" w:rsidRPr="003B75C3" w14:paraId="074B57A8" w14:textId="77777777" w:rsidTr="00D94580">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700" w:type="dxa"/>
            <w:shd w:val="clear" w:color="auto" w:fill="4970B7"/>
            <w:vAlign w:val="center"/>
          </w:tcPr>
          <w:p w14:paraId="26BD3F46" w14:textId="77777777" w:rsidR="003B75C3" w:rsidRPr="003B75C3" w:rsidRDefault="003B75C3" w:rsidP="003B75C3">
            <w:pPr>
              <w:spacing w:before="120" w:after="240" w:line="240" w:lineRule="auto"/>
              <w:rPr>
                <w:rFonts w:ascii="Lato" w:eastAsia="Lato" w:hAnsi="Lato" w:cs="Times New Roman"/>
                <w:b w:val="0"/>
                <w:color w:val="FFFFFF"/>
                <w:lang w:eastAsia="en-US"/>
              </w:rPr>
            </w:pPr>
            <w:r w:rsidRPr="003B75C3">
              <w:rPr>
                <w:rFonts w:ascii="Lato" w:eastAsia="Lato" w:hAnsi="Lato" w:cs="Times New Roman"/>
                <w:b w:val="0"/>
                <w:color w:val="FFFFFF"/>
                <w:lang w:eastAsia="en-US"/>
              </w:rPr>
              <w:t>Acronym</w:t>
            </w:r>
          </w:p>
        </w:tc>
        <w:tc>
          <w:tcPr>
            <w:tcW w:w="6660" w:type="dxa"/>
            <w:shd w:val="clear" w:color="auto" w:fill="4970B7"/>
            <w:vAlign w:val="center"/>
          </w:tcPr>
          <w:p w14:paraId="453116FA" w14:textId="77777777" w:rsidR="003B75C3" w:rsidRPr="003B75C3" w:rsidRDefault="003B75C3" w:rsidP="003B75C3">
            <w:pPr>
              <w:spacing w:before="120" w:after="240" w:line="240" w:lineRule="auto"/>
              <w:cnfStyle w:val="100000000000" w:firstRow="1" w:lastRow="0" w:firstColumn="0" w:lastColumn="0" w:oddVBand="0" w:evenVBand="0" w:oddHBand="0" w:evenHBand="0" w:firstRowFirstColumn="0" w:firstRowLastColumn="0" w:lastRowFirstColumn="0" w:lastRowLastColumn="0"/>
              <w:rPr>
                <w:rFonts w:ascii="Lato" w:eastAsia="Lato" w:hAnsi="Lato" w:cs="Times New Roman"/>
                <w:b w:val="0"/>
                <w:color w:val="FFFFFF"/>
                <w:lang w:eastAsia="en-US"/>
              </w:rPr>
            </w:pPr>
            <w:r w:rsidRPr="003B75C3">
              <w:rPr>
                <w:rFonts w:ascii="Lato" w:eastAsia="Lato" w:hAnsi="Lato" w:cs="Times New Roman"/>
                <w:b w:val="0"/>
                <w:color w:val="FFFFFF"/>
                <w:lang w:eastAsia="en-US"/>
              </w:rPr>
              <w:t>Description</w:t>
            </w:r>
          </w:p>
        </w:tc>
      </w:tr>
      <w:tr w:rsidR="003B75C3" w:rsidRPr="003B75C3" w14:paraId="1D2A654F" w14:textId="77777777" w:rsidTr="00162924">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00" w:type="dxa"/>
          </w:tcPr>
          <w:p w14:paraId="706E6B8B" w14:textId="77777777" w:rsidR="003B75C3" w:rsidRPr="001B2B05" w:rsidRDefault="003B75C3" w:rsidP="003B75C3">
            <w:pPr>
              <w:spacing w:before="120" w:after="240" w:line="240" w:lineRule="auto"/>
              <w:rPr>
                <w:rFonts w:ascii="Lato" w:eastAsia="Lato" w:hAnsi="Lato" w:cs="Times New Roman"/>
                <w:b w:val="0"/>
                <w:color w:val="332F2E" w:themeColor="accent4"/>
                <w:szCs w:val="20"/>
                <w:lang w:eastAsia="en-US"/>
              </w:rPr>
            </w:pPr>
            <w:r w:rsidRPr="001B2B05">
              <w:rPr>
                <w:rFonts w:ascii="Lato" w:eastAsia="Lato" w:hAnsi="Lato" w:cs="Times New Roman"/>
                <w:b w:val="0"/>
                <w:color w:val="332F2E" w:themeColor="accent4"/>
                <w:szCs w:val="20"/>
                <w:lang w:eastAsia="en-US"/>
              </w:rPr>
              <w:t>AMM</w:t>
            </w:r>
          </w:p>
        </w:tc>
        <w:tc>
          <w:tcPr>
            <w:tcW w:w="6660" w:type="dxa"/>
          </w:tcPr>
          <w:p w14:paraId="5720B772" w14:textId="77777777" w:rsidR="003B75C3" w:rsidRPr="001B2B05" w:rsidRDefault="003B75C3"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ascii="Lato" w:eastAsia="Lato" w:hAnsi="Lato" w:cs="Times New Roman"/>
                <w:color w:val="332F2E"/>
                <w:szCs w:val="20"/>
                <w:lang w:eastAsia="en-US"/>
              </w:rPr>
            </w:pPr>
            <w:r w:rsidRPr="001B2B05">
              <w:rPr>
                <w:rFonts w:ascii="Lato" w:eastAsia="Lato" w:hAnsi="Lato" w:cs="Times New Roman"/>
                <w:color w:val="332F2E"/>
                <w:szCs w:val="20"/>
                <w:lang w:eastAsia="en-US"/>
              </w:rPr>
              <w:t>Average Monthly Maximum</w:t>
            </w:r>
          </w:p>
        </w:tc>
      </w:tr>
      <w:tr w:rsidR="003B75C3" w:rsidRPr="003B75C3" w14:paraId="669D91BC" w14:textId="77777777">
        <w:tc>
          <w:tcPr>
            <w:cnfStyle w:val="001000000000" w:firstRow="0" w:lastRow="0" w:firstColumn="1" w:lastColumn="0" w:oddVBand="0" w:evenVBand="0" w:oddHBand="0" w:evenHBand="0" w:firstRowFirstColumn="0" w:firstRowLastColumn="0" w:lastRowFirstColumn="0" w:lastRowLastColumn="0"/>
            <w:tcW w:w="2700" w:type="dxa"/>
          </w:tcPr>
          <w:p w14:paraId="03629BDE" w14:textId="28D320A6" w:rsidR="003B75C3" w:rsidRPr="001B2B05" w:rsidRDefault="003B75C3" w:rsidP="003B75C3">
            <w:pPr>
              <w:spacing w:before="120" w:after="240" w:line="240" w:lineRule="auto"/>
              <w:rPr>
                <w:rFonts w:ascii="Lato" w:eastAsia="Lato" w:hAnsi="Lato" w:cs="Times New Roman"/>
                <w:b w:val="0"/>
                <w:color w:val="332F2E" w:themeColor="accent4"/>
                <w:szCs w:val="20"/>
                <w:lang w:eastAsia="en-US"/>
              </w:rPr>
            </w:pPr>
            <w:r w:rsidRPr="001B2B05">
              <w:rPr>
                <w:b w:val="0"/>
                <w:color w:val="332F2E" w:themeColor="accent4"/>
                <w:szCs w:val="20"/>
              </w:rPr>
              <w:t>ARI</w:t>
            </w:r>
          </w:p>
        </w:tc>
        <w:tc>
          <w:tcPr>
            <w:tcW w:w="6660" w:type="dxa"/>
          </w:tcPr>
          <w:p w14:paraId="790241A7" w14:textId="31548DB6" w:rsidR="003B75C3" w:rsidRPr="001B2B05" w:rsidRDefault="003B75C3"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ascii="Lato" w:eastAsia="Lato" w:hAnsi="Lato" w:cs="Times New Roman"/>
                <w:color w:val="332F2E"/>
                <w:szCs w:val="20"/>
                <w:lang w:eastAsia="en-US"/>
              </w:rPr>
            </w:pPr>
            <w:r w:rsidRPr="001B2B05">
              <w:rPr>
                <w:szCs w:val="20"/>
              </w:rPr>
              <w:t>Average Recurrence Interval</w:t>
            </w:r>
          </w:p>
        </w:tc>
      </w:tr>
      <w:tr w:rsidR="003B75C3" w:rsidRPr="003B75C3" w14:paraId="286D275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8DD8902" w14:textId="06B89D84" w:rsidR="003B75C3" w:rsidRPr="001B2B05" w:rsidRDefault="003B75C3" w:rsidP="003B75C3">
            <w:pPr>
              <w:spacing w:before="120" w:after="240" w:line="240" w:lineRule="auto"/>
              <w:rPr>
                <w:rFonts w:ascii="Lato" w:eastAsia="Lato" w:hAnsi="Lato" w:cs="Times New Roman"/>
                <w:b w:val="0"/>
                <w:color w:val="332F2E" w:themeColor="accent4"/>
                <w:szCs w:val="20"/>
                <w:lang w:eastAsia="en-US"/>
              </w:rPr>
            </w:pPr>
            <w:r w:rsidRPr="001B2B05">
              <w:rPr>
                <w:b w:val="0"/>
                <w:color w:val="332F2E" w:themeColor="accent4"/>
                <w:szCs w:val="20"/>
              </w:rPr>
              <w:t>BMP</w:t>
            </w:r>
          </w:p>
        </w:tc>
        <w:tc>
          <w:tcPr>
            <w:tcW w:w="6660" w:type="dxa"/>
          </w:tcPr>
          <w:p w14:paraId="05DDC8CE" w14:textId="531D2268" w:rsidR="003B75C3" w:rsidRPr="001B2B05" w:rsidRDefault="003B75C3"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ascii="Lato" w:eastAsia="Lato" w:hAnsi="Lato" w:cs="Times New Roman"/>
                <w:color w:val="332F2E"/>
                <w:szCs w:val="20"/>
                <w:lang w:eastAsia="en-US"/>
              </w:rPr>
            </w:pPr>
            <w:r w:rsidRPr="001B2B05">
              <w:rPr>
                <w:szCs w:val="20"/>
              </w:rPr>
              <w:t>Best Management Practice</w:t>
            </w:r>
          </w:p>
        </w:tc>
      </w:tr>
      <w:tr w:rsidR="003B75C3" w:rsidRPr="003B75C3" w14:paraId="50EA6990" w14:textId="77777777">
        <w:tc>
          <w:tcPr>
            <w:cnfStyle w:val="001000000000" w:firstRow="0" w:lastRow="0" w:firstColumn="1" w:lastColumn="0" w:oddVBand="0" w:evenVBand="0" w:oddHBand="0" w:evenHBand="0" w:firstRowFirstColumn="0" w:firstRowLastColumn="0" w:lastRowFirstColumn="0" w:lastRowLastColumn="0"/>
            <w:tcW w:w="2700" w:type="dxa"/>
          </w:tcPr>
          <w:p w14:paraId="7E7D59D1" w14:textId="77777777" w:rsidR="003B75C3" w:rsidRPr="001B2B05" w:rsidRDefault="003B75C3" w:rsidP="003B75C3">
            <w:pPr>
              <w:spacing w:before="120" w:after="240" w:line="240" w:lineRule="auto"/>
              <w:rPr>
                <w:rFonts w:ascii="Lato" w:eastAsia="Lato" w:hAnsi="Lato" w:cs="Times New Roman"/>
                <w:b w:val="0"/>
                <w:color w:val="332F2E" w:themeColor="accent4"/>
                <w:szCs w:val="20"/>
                <w:lang w:eastAsia="en-US"/>
              </w:rPr>
            </w:pPr>
            <w:r w:rsidRPr="001B2B05">
              <w:rPr>
                <w:rFonts w:ascii="Lato" w:eastAsia="Lato" w:hAnsi="Lato" w:cs="Times New Roman"/>
                <w:b w:val="0"/>
                <w:color w:val="332F2E" w:themeColor="accent4"/>
                <w:szCs w:val="20"/>
                <w:lang w:eastAsia="en-US"/>
              </w:rPr>
              <w:t>CCVI</w:t>
            </w:r>
          </w:p>
        </w:tc>
        <w:tc>
          <w:tcPr>
            <w:tcW w:w="6660" w:type="dxa"/>
          </w:tcPr>
          <w:p w14:paraId="29EBAA20" w14:textId="77777777" w:rsidR="003B75C3" w:rsidRPr="001B2B05" w:rsidRDefault="003B75C3"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ascii="Lato" w:eastAsia="Lato" w:hAnsi="Lato" w:cs="Lato"/>
                <w:color w:val="332F2E"/>
                <w:szCs w:val="20"/>
                <w:lang w:eastAsia="en-US"/>
              </w:rPr>
            </w:pPr>
            <w:r w:rsidRPr="001B2B05">
              <w:rPr>
                <w:rFonts w:ascii="Lato" w:eastAsia="Lato" w:hAnsi="Lato" w:cs="Times New Roman"/>
                <w:color w:val="332F2E"/>
                <w:szCs w:val="20"/>
                <w:lang w:eastAsia="en-US"/>
              </w:rPr>
              <w:t>Climate Change Vulnerability Index</w:t>
            </w:r>
          </w:p>
        </w:tc>
      </w:tr>
      <w:tr w:rsidR="003B75C3" w:rsidRPr="003B75C3" w14:paraId="4303FE9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4BE08E48" w14:textId="77777777" w:rsidR="003B75C3" w:rsidRPr="001B2B05" w:rsidRDefault="003B75C3" w:rsidP="003B75C3">
            <w:pPr>
              <w:spacing w:before="120" w:after="240" w:line="240" w:lineRule="auto"/>
              <w:rPr>
                <w:rFonts w:ascii="Lato" w:eastAsia="Lato" w:hAnsi="Lato" w:cs="Times New Roman"/>
                <w:b w:val="0"/>
                <w:color w:val="332F2E" w:themeColor="accent4"/>
                <w:szCs w:val="20"/>
                <w:lang w:eastAsia="en-US"/>
              </w:rPr>
            </w:pPr>
            <w:r w:rsidRPr="001B2B05">
              <w:rPr>
                <w:rFonts w:ascii="Lato" w:eastAsia="Lato" w:hAnsi="Lato" w:cs="Times New Roman"/>
                <w:b w:val="0"/>
                <w:color w:val="332F2E" w:themeColor="accent4"/>
                <w:szCs w:val="20"/>
                <w:lang w:eastAsia="en-US"/>
              </w:rPr>
              <w:t>CGS</w:t>
            </w:r>
          </w:p>
        </w:tc>
        <w:tc>
          <w:tcPr>
            <w:tcW w:w="6660" w:type="dxa"/>
          </w:tcPr>
          <w:p w14:paraId="00BF3940" w14:textId="77777777" w:rsidR="003B75C3" w:rsidRPr="001B2B05" w:rsidRDefault="003B75C3"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ascii="Lato" w:eastAsia="Lato" w:hAnsi="Lato" w:cs="Times New Roman"/>
                <w:color w:val="332F2E"/>
                <w:szCs w:val="20"/>
                <w:lang w:eastAsia="en-US"/>
              </w:rPr>
            </w:pPr>
            <w:r w:rsidRPr="001B2B05">
              <w:rPr>
                <w:rFonts w:ascii="Lato" w:eastAsia="Lato" w:hAnsi="Lato" w:cs="Lato"/>
                <w:color w:val="332F2E"/>
                <w:szCs w:val="20"/>
                <w:lang w:eastAsia="en-US"/>
              </w:rPr>
              <w:t xml:space="preserve">Connecticut General Statutes </w:t>
            </w:r>
          </w:p>
        </w:tc>
      </w:tr>
      <w:tr w:rsidR="003B75C3" w:rsidRPr="003B75C3" w14:paraId="1397A368" w14:textId="77777777">
        <w:tc>
          <w:tcPr>
            <w:cnfStyle w:val="001000000000" w:firstRow="0" w:lastRow="0" w:firstColumn="1" w:lastColumn="0" w:oddVBand="0" w:evenVBand="0" w:oddHBand="0" w:evenHBand="0" w:firstRowFirstColumn="0" w:firstRowLastColumn="0" w:lastRowFirstColumn="0" w:lastRowLastColumn="0"/>
            <w:tcW w:w="2700" w:type="dxa"/>
          </w:tcPr>
          <w:p w14:paraId="0B4B3630" w14:textId="77777777" w:rsidR="003B75C3" w:rsidRPr="001B2B05" w:rsidRDefault="003B75C3" w:rsidP="003B75C3">
            <w:pPr>
              <w:spacing w:before="120" w:after="240" w:line="240" w:lineRule="auto"/>
              <w:rPr>
                <w:rFonts w:ascii="Lato" w:eastAsia="Lato" w:hAnsi="Lato" w:cs="Times New Roman"/>
                <w:b w:val="0"/>
                <w:color w:val="332F2E" w:themeColor="accent4"/>
                <w:szCs w:val="20"/>
                <w:lang w:eastAsia="en-US"/>
              </w:rPr>
            </w:pPr>
            <w:r w:rsidRPr="001B2B05">
              <w:rPr>
                <w:rFonts w:ascii="Lato" w:eastAsia="Lato" w:hAnsi="Lato" w:cs="Times New Roman"/>
                <w:b w:val="0"/>
                <w:color w:val="332F2E" w:themeColor="accent4"/>
                <w:szCs w:val="20"/>
                <w:lang w:eastAsia="en-US"/>
              </w:rPr>
              <w:t>CIRCA</w:t>
            </w:r>
          </w:p>
        </w:tc>
        <w:tc>
          <w:tcPr>
            <w:tcW w:w="6660" w:type="dxa"/>
          </w:tcPr>
          <w:p w14:paraId="5F6A7F04" w14:textId="77777777" w:rsidR="003B75C3" w:rsidRPr="001B2B05" w:rsidRDefault="003B75C3"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ascii="Lato" w:eastAsia="Lato" w:hAnsi="Lato" w:cs="Lato"/>
                <w:color w:val="332F2E"/>
                <w:szCs w:val="20"/>
                <w:lang w:eastAsia="en-US"/>
              </w:rPr>
            </w:pPr>
            <w:r w:rsidRPr="001B2B05">
              <w:rPr>
                <w:rFonts w:ascii="Lato" w:eastAsia="Lato" w:hAnsi="Lato" w:cs="Times New Roman"/>
                <w:color w:val="332F2E"/>
                <w:szCs w:val="20"/>
                <w:lang w:eastAsia="en-US"/>
              </w:rPr>
              <w:t>Connecticut Institute for Resilience &amp; Climate Adaptation</w:t>
            </w:r>
          </w:p>
        </w:tc>
      </w:tr>
      <w:tr w:rsidR="003B75C3" w:rsidRPr="003B75C3" w14:paraId="4A53790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71D5164" w14:textId="545B5320" w:rsidR="003B75C3" w:rsidRPr="001B2B05" w:rsidRDefault="00896F51" w:rsidP="003B75C3">
            <w:pPr>
              <w:spacing w:before="120" w:after="240" w:line="240" w:lineRule="auto"/>
              <w:rPr>
                <w:rFonts w:ascii="Lato" w:eastAsia="Lato" w:hAnsi="Lato" w:cs="Times New Roman"/>
                <w:b w:val="0"/>
                <w:color w:val="332F2E" w:themeColor="accent4"/>
                <w:szCs w:val="20"/>
                <w:lang w:eastAsia="en-US"/>
              </w:rPr>
            </w:pPr>
            <w:r w:rsidRPr="001B2B05">
              <w:rPr>
                <w:b w:val="0"/>
                <w:color w:val="332F2E" w:themeColor="accent4"/>
                <w:szCs w:val="20"/>
              </w:rPr>
              <w:t xml:space="preserve">CT ECO </w:t>
            </w:r>
          </w:p>
        </w:tc>
        <w:tc>
          <w:tcPr>
            <w:tcW w:w="6660" w:type="dxa"/>
          </w:tcPr>
          <w:p w14:paraId="5AC81ED3" w14:textId="75047D72" w:rsidR="003B75C3"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ascii="Lato" w:eastAsia="Lato" w:hAnsi="Lato" w:cs="Times New Roman"/>
                <w:color w:val="332F2E"/>
                <w:szCs w:val="20"/>
                <w:lang w:eastAsia="en-US"/>
              </w:rPr>
            </w:pPr>
            <w:r w:rsidRPr="001B2B05">
              <w:rPr>
                <w:szCs w:val="20"/>
              </w:rPr>
              <w:t xml:space="preserve">Connecticut Environmental Conditions Online </w:t>
            </w:r>
          </w:p>
        </w:tc>
      </w:tr>
      <w:tr w:rsidR="003B75C3" w:rsidRPr="003B75C3" w14:paraId="2941E66D" w14:textId="77777777">
        <w:tc>
          <w:tcPr>
            <w:cnfStyle w:val="001000000000" w:firstRow="0" w:lastRow="0" w:firstColumn="1" w:lastColumn="0" w:oddVBand="0" w:evenVBand="0" w:oddHBand="0" w:evenHBand="0" w:firstRowFirstColumn="0" w:firstRowLastColumn="0" w:lastRowFirstColumn="0" w:lastRowLastColumn="0"/>
            <w:tcW w:w="2700" w:type="dxa"/>
          </w:tcPr>
          <w:p w14:paraId="45016BEA" w14:textId="2D2E0553" w:rsidR="003B75C3" w:rsidRPr="001B2B05" w:rsidRDefault="00896F51" w:rsidP="003B75C3">
            <w:pPr>
              <w:spacing w:before="120" w:after="240" w:line="240" w:lineRule="auto"/>
              <w:rPr>
                <w:rFonts w:ascii="Lato" w:eastAsia="Lato" w:hAnsi="Lato" w:cs="Times New Roman"/>
                <w:b w:val="0"/>
                <w:bCs w:val="0"/>
                <w:color w:val="332F2E"/>
                <w:szCs w:val="20"/>
                <w:lang w:eastAsia="en-US"/>
              </w:rPr>
            </w:pPr>
            <w:r w:rsidRPr="001B2B05">
              <w:rPr>
                <w:b w:val="0"/>
                <w:bCs w:val="0"/>
                <w:szCs w:val="20"/>
              </w:rPr>
              <w:t>CT NHMP</w:t>
            </w:r>
          </w:p>
        </w:tc>
        <w:tc>
          <w:tcPr>
            <w:tcW w:w="6660" w:type="dxa"/>
          </w:tcPr>
          <w:p w14:paraId="6295D60F" w14:textId="12AEF256" w:rsidR="003B75C3"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ascii="Lato" w:eastAsia="Lato" w:hAnsi="Lato" w:cs="Times New Roman"/>
                <w:color w:val="332F2E"/>
                <w:szCs w:val="20"/>
                <w:lang w:eastAsia="en-US"/>
              </w:rPr>
            </w:pPr>
            <w:r w:rsidRPr="001B2B05">
              <w:rPr>
                <w:szCs w:val="20"/>
              </w:rPr>
              <w:t xml:space="preserve">Connecticut Natural Hazard Mitigation Plan </w:t>
            </w:r>
          </w:p>
        </w:tc>
      </w:tr>
      <w:tr w:rsidR="00896F51" w:rsidRPr="003B75C3" w14:paraId="7679556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3AE38C57" w14:textId="4E62D468"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CTPCSA </w:t>
            </w:r>
          </w:p>
        </w:tc>
        <w:tc>
          <w:tcPr>
            <w:tcW w:w="6660" w:type="dxa"/>
          </w:tcPr>
          <w:p w14:paraId="468BA658" w14:textId="0FD4A6C5"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Connecticut Physical Climate Science Assessment Report </w:t>
            </w:r>
          </w:p>
        </w:tc>
      </w:tr>
      <w:tr w:rsidR="00896F51" w:rsidRPr="003B75C3" w14:paraId="5FB0870A" w14:textId="77777777">
        <w:tc>
          <w:tcPr>
            <w:cnfStyle w:val="001000000000" w:firstRow="0" w:lastRow="0" w:firstColumn="1" w:lastColumn="0" w:oddVBand="0" w:evenVBand="0" w:oddHBand="0" w:evenHBand="0" w:firstRowFirstColumn="0" w:firstRowLastColumn="0" w:lastRowFirstColumn="0" w:lastRowLastColumn="0"/>
            <w:tcW w:w="2700" w:type="dxa"/>
          </w:tcPr>
          <w:p w14:paraId="1D3E63E6" w14:textId="445B2907"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DEEP </w:t>
            </w:r>
          </w:p>
        </w:tc>
        <w:tc>
          <w:tcPr>
            <w:tcW w:w="6660" w:type="dxa"/>
          </w:tcPr>
          <w:p w14:paraId="7D8B2FAA" w14:textId="0CA8340A"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rFonts w:cstheme="minorHAnsi"/>
                <w:szCs w:val="20"/>
              </w:rPr>
              <w:t xml:space="preserve">Department of Energy and Environmental Protection </w:t>
            </w:r>
          </w:p>
        </w:tc>
      </w:tr>
      <w:tr w:rsidR="00896F51" w:rsidRPr="003B75C3" w14:paraId="6981219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29222AE9" w14:textId="3816968F" w:rsidR="00896F51" w:rsidRPr="001B2B05" w:rsidRDefault="00896F51" w:rsidP="003B75C3">
            <w:pPr>
              <w:spacing w:before="120" w:after="240" w:line="240" w:lineRule="auto"/>
              <w:rPr>
                <w:rFonts w:hint="eastAsia"/>
                <w:b w:val="0"/>
                <w:bCs w:val="0"/>
                <w:szCs w:val="20"/>
              </w:rPr>
            </w:pPr>
            <w:r w:rsidRPr="001B2B05">
              <w:rPr>
                <w:rFonts w:cstheme="minorHAnsi"/>
                <w:b w:val="0"/>
                <w:bCs w:val="0"/>
                <w:szCs w:val="20"/>
              </w:rPr>
              <w:t xml:space="preserve">EF </w:t>
            </w:r>
          </w:p>
        </w:tc>
        <w:tc>
          <w:tcPr>
            <w:tcW w:w="6660" w:type="dxa"/>
          </w:tcPr>
          <w:p w14:paraId="1ED4EC7C" w14:textId="70AB7A59"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cstheme="minorHAnsi" w:hint="eastAsia"/>
                <w:szCs w:val="20"/>
              </w:rPr>
            </w:pPr>
            <w:r w:rsidRPr="001B2B05">
              <w:rPr>
                <w:rFonts w:cstheme="minorHAnsi"/>
                <w:szCs w:val="20"/>
              </w:rPr>
              <w:t xml:space="preserve">Enhanced Fujita Scale </w:t>
            </w:r>
          </w:p>
        </w:tc>
      </w:tr>
      <w:tr w:rsidR="00896F51" w:rsidRPr="003B75C3" w14:paraId="677F0558" w14:textId="77777777">
        <w:tc>
          <w:tcPr>
            <w:cnfStyle w:val="001000000000" w:firstRow="0" w:lastRow="0" w:firstColumn="1" w:lastColumn="0" w:oddVBand="0" w:evenVBand="0" w:oddHBand="0" w:evenHBand="0" w:firstRowFirstColumn="0" w:firstRowLastColumn="0" w:lastRowFirstColumn="0" w:lastRowLastColumn="0"/>
            <w:tcW w:w="2700" w:type="dxa"/>
          </w:tcPr>
          <w:p w14:paraId="1EDF292C" w14:textId="1754750B" w:rsidR="00896F51" w:rsidRPr="001B2B05" w:rsidRDefault="00896F51" w:rsidP="003B75C3">
            <w:pPr>
              <w:spacing w:before="120" w:after="240" w:line="240" w:lineRule="auto"/>
              <w:rPr>
                <w:rFonts w:cstheme="minorHAnsi" w:hint="eastAsia"/>
                <w:b w:val="0"/>
                <w:bCs w:val="0"/>
                <w:szCs w:val="20"/>
              </w:rPr>
            </w:pPr>
            <w:r w:rsidRPr="001B2B05">
              <w:rPr>
                <w:b w:val="0"/>
                <w:bCs w:val="0"/>
                <w:szCs w:val="20"/>
              </w:rPr>
              <w:t xml:space="preserve">ENSO </w:t>
            </w:r>
          </w:p>
        </w:tc>
        <w:tc>
          <w:tcPr>
            <w:tcW w:w="6660" w:type="dxa"/>
          </w:tcPr>
          <w:p w14:paraId="723B497C" w14:textId="6F847D91"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cstheme="minorHAnsi" w:hint="eastAsia"/>
                <w:szCs w:val="20"/>
              </w:rPr>
            </w:pPr>
            <w:r w:rsidRPr="001B2B05">
              <w:rPr>
                <w:szCs w:val="20"/>
              </w:rPr>
              <w:t>El-Niño Southern Oscillation</w:t>
            </w:r>
          </w:p>
        </w:tc>
      </w:tr>
      <w:tr w:rsidR="00896F51" w:rsidRPr="003B75C3" w14:paraId="25BE4EC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35D781FD" w14:textId="785B914A" w:rsidR="00896F51" w:rsidRPr="001B2B05" w:rsidRDefault="00896F51" w:rsidP="003B75C3">
            <w:pPr>
              <w:spacing w:before="120" w:after="240" w:line="240" w:lineRule="auto"/>
              <w:rPr>
                <w:rFonts w:cstheme="minorHAnsi" w:hint="eastAsia"/>
                <w:b w:val="0"/>
                <w:bCs w:val="0"/>
                <w:szCs w:val="20"/>
              </w:rPr>
            </w:pPr>
            <w:r w:rsidRPr="001B2B05">
              <w:rPr>
                <w:b w:val="0"/>
                <w:bCs w:val="0"/>
                <w:szCs w:val="20"/>
              </w:rPr>
              <w:t xml:space="preserve">EPA </w:t>
            </w:r>
          </w:p>
        </w:tc>
        <w:tc>
          <w:tcPr>
            <w:tcW w:w="6660" w:type="dxa"/>
          </w:tcPr>
          <w:p w14:paraId="27A2A5C5" w14:textId="3A8C4C7F"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cstheme="minorHAnsi" w:hint="eastAsia"/>
                <w:szCs w:val="20"/>
              </w:rPr>
            </w:pPr>
            <w:r w:rsidRPr="001B2B05">
              <w:rPr>
                <w:szCs w:val="20"/>
              </w:rPr>
              <w:t>Environmental Protection Agency</w:t>
            </w:r>
          </w:p>
        </w:tc>
      </w:tr>
      <w:tr w:rsidR="00896F51" w:rsidRPr="003B75C3" w14:paraId="5C93EACB" w14:textId="77777777">
        <w:tc>
          <w:tcPr>
            <w:cnfStyle w:val="001000000000" w:firstRow="0" w:lastRow="0" w:firstColumn="1" w:lastColumn="0" w:oddVBand="0" w:evenVBand="0" w:oddHBand="0" w:evenHBand="0" w:firstRowFirstColumn="0" w:firstRowLastColumn="0" w:lastRowFirstColumn="0" w:lastRowLastColumn="0"/>
            <w:tcW w:w="2700" w:type="dxa"/>
          </w:tcPr>
          <w:p w14:paraId="0F9EA1E1" w14:textId="409D9245" w:rsidR="00896F51" w:rsidRPr="001B2B05" w:rsidRDefault="00896F51" w:rsidP="003B75C3">
            <w:pPr>
              <w:spacing w:before="120" w:after="240" w:line="240" w:lineRule="auto"/>
              <w:rPr>
                <w:rFonts w:cstheme="minorHAnsi" w:hint="eastAsia"/>
                <w:b w:val="0"/>
                <w:bCs w:val="0"/>
                <w:szCs w:val="20"/>
              </w:rPr>
            </w:pPr>
            <w:r w:rsidRPr="001B2B05">
              <w:rPr>
                <w:b w:val="0"/>
                <w:bCs w:val="0"/>
                <w:szCs w:val="20"/>
              </w:rPr>
              <w:t xml:space="preserve">FEMA </w:t>
            </w:r>
          </w:p>
        </w:tc>
        <w:tc>
          <w:tcPr>
            <w:tcW w:w="6660" w:type="dxa"/>
          </w:tcPr>
          <w:p w14:paraId="53B4DD20" w14:textId="14B730C1"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cstheme="minorHAnsi" w:hint="eastAsia"/>
                <w:szCs w:val="20"/>
              </w:rPr>
            </w:pPr>
            <w:r w:rsidRPr="001B2B05">
              <w:rPr>
                <w:szCs w:val="20"/>
              </w:rPr>
              <w:t>Federal Emergency Management Agency</w:t>
            </w:r>
          </w:p>
        </w:tc>
      </w:tr>
      <w:tr w:rsidR="00896F51" w:rsidRPr="003B75C3" w14:paraId="355B575C"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32BF5648" w14:textId="14CB1E6D" w:rsidR="00896F51" w:rsidRPr="001B2B05" w:rsidRDefault="00896F51" w:rsidP="003B75C3">
            <w:pPr>
              <w:spacing w:before="120" w:after="240" w:line="240" w:lineRule="auto"/>
              <w:rPr>
                <w:rFonts w:cstheme="minorHAnsi" w:hint="eastAsia"/>
                <w:b w:val="0"/>
                <w:bCs w:val="0"/>
                <w:szCs w:val="20"/>
              </w:rPr>
            </w:pPr>
            <w:r w:rsidRPr="001B2B05">
              <w:rPr>
                <w:b w:val="0"/>
                <w:bCs w:val="0"/>
                <w:szCs w:val="20"/>
              </w:rPr>
              <w:t xml:space="preserve">FIRM </w:t>
            </w:r>
          </w:p>
        </w:tc>
        <w:tc>
          <w:tcPr>
            <w:tcW w:w="6660" w:type="dxa"/>
            <w:vAlign w:val="center"/>
          </w:tcPr>
          <w:p w14:paraId="715DC4FF" w14:textId="3176E4B6"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cstheme="minorHAnsi" w:hint="eastAsia"/>
                <w:szCs w:val="20"/>
              </w:rPr>
            </w:pPr>
            <w:r w:rsidRPr="001B2B05">
              <w:rPr>
                <w:szCs w:val="20"/>
              </w:rPr>
              <w:t>Flood Insurance Rate Map</w:t>
            </w:r>
          </w:p>
        </w:tc>
      </w:tr>
      <w:tr w:rsidR="00896F51" w:rsidRPr="003B75C3" w14:paraId="594138D7"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7F4F0409" w14:textId="3D6ACEEC" w:rsidR="00896F51" w:rsidRPr="001B2B05" w:rsidRDefault="00896F51" w:rsidP="003B75C3">
            <w:pPr>
              <w:spacing w:before="120" w:after="240" w:line="240" w:lineRule="auto"/>
              <w:rPr>
                <w:rFonts w:cstheme="minorHAnsi" w:hint="eastAsia"/>
                <w:b w:val="0"/>
                <w:bCs w:val="0"/>
                <w:szCs w:val="20"/>
              </w:rPr>
            </w:pPr>
            <w:r w:rsidRPr="001B2B05">
              <w:rPr>
                <w:b w:val="0"/>
                <w:bCs w:val="0"/>
                <w:szCs w:val="20"/>
              </w:rPr>
              <w:t xml:space="preserve">IBHS </w:t>
            </w:r>
          </w:p>
        </w:tc>
        <w:tc>
          <w:tcPr>
            <w:tcW w:w="6660" w:type="dxa"/>
            <w:vAlign w:val="center"/>
          </w:tcPr>
          <w:p w14:paraId="155AD8F0" w14:textId="362FA257"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cstheme="minorHAnsi" w:hint="eastAsia"/>
                <w:szCs w:val="20"/>
              </w:rPr>
            </w:pPr>
            <w:r w:rsidRPr="001B2B05">
              <w:rPr>
                <w:szCs w:val="20"/>
              </w:rPr>
              <w:t xml:space="preserve">Institute for Business &amp; Home Safety </w:t>
            </w:r>
          </w:p>
        </w:tc>
      </w:tr>
      <w:tr w:rsidR="00896F51" w:rsidRPr="003B75C3" w14:paraId="30250F43"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38413EA7" w14:textId="13E212EF" w:rsidR="00896F51" w:rsidRPr="001B2B05" w:rsidRDefault="00896F51" w:rsidP="003B75C3">
            <w:pPr>
              <w:spacing w:before="120" w:after="240" w:line="240" w:lineRule="auto"/>
              <w:rPr>
                <w:rFonts w:cstheme="minorHAnsi" w:hint="eastAsia"/>
                <w:b w:val="0"/>
                <w:bCs w:val="0"/>
                <w:szCs w:val="20"/>
              </w:rPr>
            </w:pPr>
            <w:r w:rsidRPr="001B2B05">
              <w:rPr>
                <w:b w:val="0"/>
                <w:bCs w:val="0"/>
                <w:szCs w:val="20"/>
              </w:rPr>
              <w:t xml:space="preserve">IBTrACS </w:t>
            </w:r>
          </w:p>
        </w:tc>
        <w:tc>
          <w:tcPr>
            <w:tcW w:w="6660" w:type="dxa"/>
            <w:vAlign w:val="center"/>
          </w:tcPr>
          <w:p w14:paraId="3A0D6D40" w14:textId="15C27136" w:rsidR="00896F51" w:rsidRPr="001B2B05" w:rsidRDefault="00896F51" w:rsidP="00896F51">
            <w:pPr>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International Best Track Archive for Climate Stewardship</w:t>
            </w:r>
          </w:p>
        </w:tc>
      </w:tr>
      <w:tr w:rsidR="00896F51" w:rsidRPr="003B75C3" w14:paraId="1152FA63"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40860CFC" w14:textId="119EBD0B" w:rsidR="00896F51" w:rsidRPr="001B2B05" w:rsidRDefault="00896F51" w:rsidP="003B75C3">
            <w:pPr>
              <w:spacing w:before="120" w:after="240" w:line="240" w:lineRule="auto"/>
              <w:rPr>
                <w:rFonts w:cstheme="minorHAnsi" w:hint="eastAsia"/>
                <w:b w:val="0"/>
                <w:bCs w:val="0"/>
                <w:szCs w:val="20"/>
              </w:rPr>
            </w:pPr>
            <w:r w:rsidRPr="001B2B05">
              <w:rPr>
                <w:b w:val="0"/>
                <w:bCs w:val="0"/>
                <w:szCs w:val="20"/>
              </w:rPr>
              <w:t xml:space="preserve">IDW </w:t>
            </w:r>
          </w:p>
        </w:tc>
        <w:tc>
          <w:tcPr>
            <w:tcW w:w="6660" w:type="dxa"/>
            <w:vAlign w:val="center"/>
          </w:tcPr>
          <w:p w14:paraId="71ACE826" w14:textId="192DF9B9"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cstheme="minorHAnsi" w:hint="eastAsia"/>
                <w:szCs w:val="20"/>
              </w:rPr>
            </w:pPr>
            <w:r w:rsidRPr="001B2B05">
              <w:rPr>
                <w:szCs w:val="20"/>
              </w:rPr>
              <w:t>Interagency Drought Workgroup</w:t>
            </w:r>
          </w:p>
        </w:tc>
      </w:tr>
      <w:tr w:rsidR="00896F51" w:rsidRPr="003B75C3" w14:paraId="66CA4E28"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087B89C9" w14:textId="41DB06DC"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LiDAR </w:t>
            </w:r>
          </w:p>
        </w:tc>
        <w:tc>
          <w:tcPr>
            <w:tcW w:w="6660" w:type="dxa"/>
            <w:vAlign w:val="center"/>
          </w:tcPr>
          <w:p w14:paraId="066188D0" w14:textId="1EF6C60C"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Light Detection and Ranging </w:t>
            </w:r>
          </w:p>
        </w:tc>
      </w:tr>
      <w:tr w:rsidR="00896F51" w:rsidRPr="003B75C3" w14:paraId="30DEAAE1"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2044C601" w14:textId="713AC5E9"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MHHW </w:t>
            </w:r>
          </w:p>
        </w:tc>
        <w:tc>
          <w:tcPr>
            <w:tcW w:w="6660" w:type="dxa"/>
            <w:vAlign w:val="center"/>
          </w:tcPr>
          <w:p w14:paraId="096CE01F" w14:textId="1EBB478D"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 xml:space="preserve">Mean Higher High Water </w:t>
            </w:r>
          </w:p>
        </w:tc>
      </w:tr>
      <w:tr w:rsidR="00896F51" w:rsidRPr="003B75C3" w14:paraId="05098F99"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1E85F902" w14:textId="0A4E6D24"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MHW </w:t>
            </w:r>
          </w:p>
        </w:tc>
        <w:tc>
          <w:tcPr>
            <w:tcW w:w="6660" w:type="dxa"/>
            <w:vAlign w:val="center"/>
          </w:tcPr>
          <w:p w14:paraId="14AE7D4C" w14:textId="084ADA07"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Mean High Water</w:t>
            </w:r>
          </w:p>
        </w:tc>
      </w:tr>
      <w:tr w:rsidR="00896F51" w:rsidRPr="003B75C3" w14:paraId="168F8D42"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7623E705" w14:textId="0A39DE2C"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MLC </w:t>
            </w:r>
          </w:p>
        </w:tc>
        <w:tc>
          <w:tcPr>
            <w:tcW w:w="6660" w:type="dxa"/>
            <w:vAlign w:val="center"/>
          </w:tcPr>
          <w:p w14:paraId="5A62ACE4" w14:textId="19891A39"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Mid-Latitude Cyclone</w:t>
            </w:r>
          </w:p>
        </w:tc>
      </w:tr>
      <w:tr w:rsidR="00896F51" w:rsidRPr="003B75C3" w14:paraId="115351DC"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1C7FEEEE" w14:textId="12682A3B"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NAO </w:t>
            </w:r>
          </w:p>
        </w:tc>
        <w:tc>
          <w:tcPr>
            <w:tcW w:w="6660" w:type="dxa"/>
            <w:vAlign w:val="center"/>
          </w:tcPr>
          <w:p w14:paraId="72FDE551" w14:textId="2E43CA03"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North Atlantic Oscillation</w:t>
            </w:r>
          </w:p>
        </w:tc>
      </w:tr>
      <w:tr w:rsidR="00896F51" w:rsidRPr="003B75C3" w14:paraId="184618E8"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7DDB886A" w14:textId="09E37C11"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NFHL </w:t>
            </w:r>
          </w:p>
        </w:tc>
        <w:tc>
          <w:tcPr>
            <w:tcW w:w="6660" w:type="dxa"/>
            <w:vAlign w:val="center"/>
          </w:tcPr>
          <w:p w14:paraId="6A0D38BA" w14:textId="6F76BD63"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National Flood Hazard Layer</w:t>
            </w:r>
          </w:p>
        </w:tc>
      </w:tr>
      <w:tr w:rsidR="00896F51" w:rsidRPr="003B75C3" w14:paraId="1EA5D596"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4645664F" w14:textId="26BE5A63"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NOAA </w:t>
            </w:r>
          </w:p>
        </w:tc>
        <w:tc>
          <w:tcPr>
            <w:tcW w:w="6660" w:type="dxa"/>
            <w:vAlign w:val="center"/>
          </w:tcPr>
          <w:p w14:paraId="6F72B565" w14:textId="54A13760"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National Oceanic and Atmospheric Administration </w:t>
            </w:r>
          </w:p>
        </w:tc>
      </w:tr>
      <w:tr w:rsidR="00896F51" w:rsidRPr="003B75C3" w14:paraId="1F664150"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5B247E65" w14:textId="6912AAA9"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NRCC </w:t>
            </w:r>
          </w:p>
        </w:tc>
        <w:tc>
          <w:tcPr>
            <w:tcW w:w="6660" w:type="dxa"/>
            <w:vAlign w:val="center"/>
          </w:tcPr>
          <w:p w14:paraId="2211C95A" w14:textId="749516AD"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 xml:space="preserve">Northeast Regional Climate Center </w:t>
            </w:r>
          </w:p>
        </w:tc>
      </w:tr>
      <w:tr w:rsidR="00896F51" w:rsidRPr="003B75C3" w14:paraId="58D131D6"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3C77E54A" w14:textId="6FA12192"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HMP </w:t>
            </w:r>
          </w:p>
        </w:tc>
        <w:tc>
          <w:tcPr>
            <w:tcW w:w="6660" w:type="dxa"/>
            <w:vAlign w:val="center"/>
          </w:tcPr>
          <w:p w14:paraId="5EA41BF3" w14:textId="037FCF8C"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Hazard Mitigation Plan</w:t>
            </w:r>
          </w:p>
        </w:tc>
      </w:tr>
      <w:tr w:rsidR="00896F51" w:rsidRPr="003B75C3" w14:paraId="7AD138D0"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38BE4681" w14:textId="3EC655FF"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HUC </w:t>
            </w:r>
          </w:p>
        </w:tc>
        <w:tc>
          <w:tcPr>
            <w:tcW w:w="6660" w:type="dxa"/>
            <w:vAlign w:val="center"/>
          </w:tcPr>
          <w:p w14:paraId="76A38925" w14:textId="72E5F466"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rFonts w:cstheme="minorHAnsi"/>
                <w:szCs w:val="20"/>
              </w:rPr>
              <w:t xml:space="preserve">Hydrologic Unit Code </w:t>
            </w:r>
          </w:p>
        </w:tc>
      </w:tr>
      <w:tr w:rsidR="00896F51" w:rsidRPr="003B75C3" w14:paraId="5A3E366B"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46D9F761" w14:textId="0B411AA9"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PDSI </w:t>
            </w:r>
          </w:p>
        </w:tc>
        <w:tc>
          <w:tcPr>
            <w:tcW w:w="6660" w:type="dxa"/>
            <w:vAlign w:val="center"/>
          </w:tcPr>
          <w:p w14:paraId="32F41E61" w14:textId="6A28EE4D"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Palmer Drought Severity </w:t>
            </w:r>
          </w:p>
        </w:tc>
      </w:tr>
      <w:tr w:rsidR="00896F51" w:rsidRPr="003B75C3" w14:paraId="7B0C7338"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09170DD6" w14:textId="1CEAA719"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PFE </w:t>
            </w:r>
          </w:p>
        </w:tc>
        <w:tc>
          <w:tcPr>
            <w:tcW w:w="6660" w:type="dxa"/>
            <w:vAlign w:val="center"/>
          </w:tcPr>
          <w:p w14:paraId="547A8350" w14:textId="437CDD8E"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Precipitation Frequency Estimate</w:t>
            </w:r>
          </w:p>
        </w:tc>
      </w:tr>
      <w:tr w:rsidR="00896F51" w:rsidRPr="003B75C3" w14:paraId="68148162"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0EAA6AE6" w14:textId="14E0F46A"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POCD </w:t>
            </w:r>
          </w:p>
        </w:tc>
        <w:tc>
          <w:tcPr>
            <w:tcW w:w="6660" w:type="dxa"/>
            <w:vAlign w:val="center"/>
          </w:tcPr>
          <w:p w14:paraId="3AD3BD5E" w14:textId="567A8D5D"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Plans of Conservation and Development </w:t>
            </w:r>
          </w:p>
        </w:tc>
      </w:tr>
      <w:tr w:rsidR="00896F51" w:rsidRPr="003B75C3" w14:paraId="74045867"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1288EC3F" w14:textId="5B23ED3E"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P-PET </w:t>
            </w:r>
          </w:p>
        </w:tc>
        <w:tc>
          <w:tcPr>
            <w:tcW w:w="6660" w:type="dxa"/>
            <w:vAlign w:val="center"/>
          </w:tcPr>
          <w:p w14:paraId="29DBE59C" w14:textId="3054CBBB"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Precipitation minus Potential Evapotranspiration</w:t>
            </w:r>
          </w:p>
        </w:tc>
      </w:tr>
      <w:tr w:rsidR="00896F51" w:rsidRPr="003B75C3" w14:paraId="75F745A0"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23A9EBC2" w14:textId="0A631A75" w:rsidR="00896F51" w:rsidRPr="001B2B05" w:rsidRDefault="00896F51" w:rsidP="003B75C3">
            <w:pPr>
              <w:spacing w:before="120" w:after="240" w:line="240" w:lineRule="auto"/>
              <w:rPr>
                <w:rFonts w:hint="eastAsia"/>
                <w:b w:val="0"/>
                <w:bCs w:val="0"/>
                <w:szCs w:val="20"/>
              </w:rPr>
            </w:pPr>
            <w:r w:rsidRPr="001B2B05">
              <w:rPr>
                <w:b w:val="0"/>
                <w:bCs w:val="0"/>
                <w:szCs w:val="20"/>
              </w:rPr>
              <w:t>RCP</w:t>
            </w:r>
          </w:p>
        </w:tc>
        <w:tc>
          <w:tcPr>
            <w:tcW w:w="6660" w:type="dxa"/>
            <w:vAlign w:val="center"/>
          </w:tcPr>
          <w:p w14:paraId="48C62E9E" w14:textId="5D34A650"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Representative Concentration Pathway </w:t>
            </w:r>
          </w:p>
        </w:tc>
      </w:tr>
      <w:tr w:rsidR="00896F51" w:rsidRPr="003B75C3" w14:paraId="57A73BA4"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39D1626B" w14:textId="6DD264DE" w:rsidR="00896F51" w:rsidRPr="001B2B05" w:rsidRDefault="00896F51" w:rsidP="003B75C3">
            <w:pPr>
              <w:spacing w:before="120" w:after="240" w:line="240" w:lineRule="auto"/>
              <w:rPr>
                <w:rFonts w:hint="eastAsia"/>
                <w:szCs w:val="20"/>
              </w:rPr>
            </w:pPr>
            <w:r w:rsidRPr="001B2B05">
              <w:rPr>
                <w:szCs w:val="20"/>
              </w:rPr>
              <w:t xml:space="preserve">SFHA </w:t>
            </w:r>
          </w:p>
        </w:tc>
        <w:tc>
          <w:tcPr>
            <w:tcW w:w="6660" w:type="dxa"/>
            <w:vAlign w:val="center"/>
          </w:tcPr>
          <w:p w14:paraId="30B9816F" w14:textId="319911E7"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 xml:space="preserve">Special Flood Hazard Area </w:t>
            </w:r>
          </w:p>
        </w:tc>
      </w:tr>
      <w:tr w:rsidR="00896F51" w:rsidRPr="003B75C3" w14:paraId="7CF2BF16"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22B4616A" w14:textId="5A9E8A4E"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SLOSH </w:t>
            </w:r>
          </w:p>
        </w:tc>
        <w:tc>
          <w:tcPr>
            <w:tcW w:w="6660" w:type="dxa"/>
            <w:vAlign w:val="center"/>
          </w:tcPr>
          <w:p w14:paraId="7D09D30E" w14:textId="4DD4B787"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Sea, Lake and Overland Surges from Hurricanes </w:t>
            </w:r>
          </w:p>
        </w:tc>
      </w:tr>
      <w:tr w:rsidR="00896F51" w:rsidRPr="003B75C3" w14:paraId="1F257C73"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4FEF06B5" w14:textId="63D69E76"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SLR </w:t>
            </w:r>
          </w:p>
        </w:tc>
        <w:tc>
          <w:tcPr>
            <w:tcW w:w="6660" w:type="dxa"/>
            <w:vAlign w:val="center"/>
          </w:tcPr>
          <w:p w14:paraId="1FE13E73" w14:textId="7C328F36"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Sea Level Rise</w:t>
            </w:r>
          </w:p>
        </w:tc>
      </w:tr>
      <w:tr w:rsidR="00896F51" w:rsidRPr="003B75C3" w14:paraId="2920A49F"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2833DDE3" w14:textId="1C335487"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SPC </w:t>
            </w:r>
          </w:p>
        </w:tc>
        <w:tc>
          <w:tcPr>
            <w:tcW w:w="6660" w:type="dxa"/>
            <w:vAlign w:val="center"/>
          </w:tcPr>
          <w:p w14:paraId="68D40715" w14:textId="3A393A8C"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NOAA Storm Prediction Center</w:t>
            </w:r>
          </w:p>
        </w:tc>
      </w:tr>
      <w:tr w:rsidR="00896F51" w:rsidRPr="003B75C3" w14:paraId="12AC1418"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2E53A717" w14:textId="457C9447"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TC </w:t>
            </w:r>
          </w:p>
        </w:tc>
        <w:tc>
          <w:tcPr>
            <w:tcW w:w="6660" w:type="dxa"/>
            <w:vAlign w:val="center"/>
          </w:tcPr>
          <w:p w14:paraId="5A3DDF4B" w14:textId="7D171EEE"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Tropical Cyclone</w:t>
            </w:r>
          </w:p>
        </w:tc>
      </w:tr>
      <w:tr w:rsidR="00896F51" w:rsidRPr="003B75C3" w14:paraId="63AD895C"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65043346" w14:textId="27AD9C73"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USDA </w:t>
            </w:r>
          </w:p>
        </w:tc>
        <w:tc>
          <w:tcPr>
            <w:tcW w:w="6660" w:type="dxa"/>
            <w:vAlign w:val="center"/>
          </w:tcPr>
          <w:p w14:paraId="6D2FF3EC" w14:textId="7BAD09FA" w:rsidR="00896F51" w:rsidRPr="001B2B05" w:rsidRDefault="00896F51" w:rsidP="003B75C3">
            <w:pPr>
              <w:spacing w:before="120" w:after="240" w:line="240" w:lineRule="auto"/>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United States Department of Agriculture</w:t>
            </w:r>
          </w:p>
        </w:tc>
      </w:tr>
      <w:tr w:rsidR="00896F51" w:rsidRPr="003B75C3" w14:paraId="4F234A95" w14:textId="77777777" w:rsidTr="00896F51">
        <w:tc>
          <w:tcPr>
            <w:cnfStyle w:val="001000000000" w:firstRow="0" w:lastRow="0" w:firstColumn="1" w:lastColumn="0" w:oddVBand="0" w:evenVBand="0" w:oddHBand="0" w:evenHBand="0" w:firstRowFirstColumn="0" w:firstRowLastColumn="0" w:lastRowFirstColumn="0" w:lastRowLastColumn="0"/>
            <w:tcW w:w="2700" w:type="dxa"/>
            <w:vAlign w:val="center"/>
          </w:tcPr>
          <w:p w14:paraId="1BA71391" w14:textId="3B52E0B5"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USFS </w:t>
            </w:r>
          </w:p>
        </w:tc>
        <w:tc>
          <w:tcPr>
            <w:tcW w:w="6660" w:type="dxa"/>
            <w:vAlign w:val="center"/>
          </w:tcPr>
          <w:p w14:paraId="73A6554C" w14:textId="671CDAC3" w:rsidR="00896F51" w:rsidRPr="001B2B05" w:rsidRDefault="00896F51" w:rsidP="003B75C3">
            <w:pPr>
              <w:spacing w:before="120" w:after="240" w:line="240" w:lineRule="auto"/>
              <w:cnfStyle w:val="000000000000" w:firstRow="0" w:lastRow="0" w:firstColumn="0" w:lastColumn="0" w:oddVBand="0" w:evenVBand="0" w:oddHBand="0" w:evenHBand="0" w:firstRowFirstColumn="0" w:firstRowLastColumn="0" w:lastRowFirstColumn="0" w:lastRowLastColumn="0"/>
              <w:rPr>
                <w:rFonts w:hint="eastAsia"/>
                <w:szCs w:val="20"/>
              </w:rPr>
            </w:pPr>
            <w:r w:rsidRPr="001B2B05">
              <w:rPr>
                <w:szCs w:val="20"/>
              </w:rPr>
              <w:t xml:space="preserve">United States Forest Service </w:t>
            </w:r>
          </w:p>
        </w:tc>
      </w:tr>
      <w:tr w:rsidR="00896F51" w:rsidRPr="003B75C3" w14:paraId="6E1D88FD" w14:textId="77777777" w:rsidTr="00896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3C3DE643" w14:textId="348BDA3B" w:rsidR="00896F51" w:rsidRPr="001B2B05" w:rsidRDefault="00896F51" w:rsidP="003B75C3">
            <w:pPr>
              <w:spacing w:before="120" w:after="240" w:line="240" w:lineRule="auto"/>
              <w:rPr>
                <w:rFonts w:hint="eastAsia"/>
                <w:b w:val="0"/>
                <w:bCs w:val="0"/>
                <w:szCs w:val="20"/>
              </w:rPr>
            </w:pPr>
            <w:r w:rsidRPr="001B2B05">
              <w:rPr>
                <w:b w:val="0"/>
                <w:bCs w:val="0"/>
                <w:szCs w:val="20"/>
              </w:rPr>
              <w:t xml:space="preserve">WUI </w:t>
            </w:r>
          </w:p>
        </w:tc>
        <w:tc>
          <w:tcPr>
            <w:tcW w:w="6660" w:type="dxa"/>
            <w:vAlign w:val="center"/>
          </w:tcPr>
          <w:p w14:paraId="2DB75AA7" w14:textId="6B7FD950" w:rsidR="00896F51" w:rsidRPr="001B2B05" w:rsidRDefault="00896F51" w:rsidP="00896F51">
            <w:pPr>
              <w:cnfStyle w:val="000000100000" w:firstRow="0" w:lastRow="0" w:firstColumn="0" w:lastColumn="0" w:oddVBand="0" w:evenVBand="0" w:oddHBand="1" w:evenHBand="0" w:firstRowFirstColumn="0" w:firstRowLastColumn="0" w:lastRowFirstColumn="0" w:lastRowLastColumn="0"/>
              <w:rPr>
                <w:rFonts w:hint="eastAsia"/>
                <w:szCs w:val="20"/>
              </w:rPr>
            </w:pPr>
            <w:r w:rsidRPr="001B2B05">
              <w:rPr>
                <w:szCs w:val="20"/>
              </w:rPr>
              <w:t xml:space="preserve">Wildland-Urban Interface  </w:t>
            </w:r>
          </w:p>
        </w:tc>
      </w:tr>
    </w:tbl>
    <w:p w14:paraId="0324D175" w14:textId="2A35C0C3" w:rsidR="0064643B" w:rsidRPr="003B75C3" w:rsidRDefault="0064643B" w:rsidP="003B75C3">
      <w:pPr>
        <w:pStyle w:val="Heading1"/>
        <w:rPr>
          <w:rFonts w:hint="eastAsia"/>
          <w:sz w:val="28"/>
        </w:rPr>
        <w:sectPr w:rsidR="0064643B" w:rsidRPr="003B75C3" w:rsidSect="00162924">
          <w:footerReference w:type="even" r:id="rId17"/>
          <w:footerReference w:type="default" r:id="rId18"/>
          <w:type w:val="continuous"/>
          <w:pgSz w:w="12240" w:h="15840" w:code="1"/>
          <w:pgMar w:top="1440" w:right="1440" w:bottom="1440" w:left="1440" w:header="576" w:footer="585" w:gutter="0"/>
          <w:pgNumType w:fmt="lowerRoman" w:start="0"/>
          <w:cols w:space="360"/>
          <w:titlePg/>
          <w:docGrid w:linePitch="360"/>
        </w:sectPr>
      </w:pPr>
    </w:p>
    <w:p w14:paraId="7A4C9E94" w14:textId="38380F36" w:rsidR="000D5B3A" w:rsidRPr="00511A36" w:rsidRDefault="004D42B8" w:rsidP="000D5B3A">
      <w:pPr>
        <w:pStyle w:val="Heading1"/>
        <w:rPr>
          <w:rFonts w:hint="eastAsia"/>
        </w:rPr>
      </w:pPr>
      <w:bookmarkStart w:id="2" w:name="_Toc233228197"/>
      <w:r w:rsidRPr="00511A36">
        <w:t>Introduction &amp; Purpose</w:t>
      </w:r>
      <w:bookmarkEnd w:id="2"/>
    </w:p>
    <w:p w14:paraId="640F8764" w14:textId="68357B51" w:rsidR="004D42B8" w:rsidRPr="00511A36" w:rsidRDefault="004D42B8" w:rsidP="004D42B8">
      <w:pPr>
        <w:rPr>
          <w:rFonts w:eastAsia="MS Mincho" w:hint="eastAsia"/>
        </w:rPr>
      </w:pPr>
      <w:r w:rsidRPr="00511A36">
        <w:rPr>
          <w:rFonts w:eastAsia="MS Mincho"/>
        </w:rPr>
        <w:t xml:space="preserve">WestCOG developed </w:t>
      </w:r>
      <w:r w:rsidR="00BF6B8D">
        <w:rPr>
          <w:rFonts w:eastAsia="MS Mincho"/>
        </w:rPr>
        <w:t>this</w:t>
      </w:r>
      <w:r w:rsidR="00BF6B8D" w:rsidRPr="00511A36">
        <w:rPr>
          <w:rFonts w:eastAsia="MS Mincho"/>
        </w:rPr>
        <w:t xml:space="preserve"> </w:t>
      </w:r>
      <w:r w:rsidRPr="00511A36">
        <w:rPr>
          <w:rFonts w:eastAsia="MS Mincho"/>
          <w:i/>
          <w:iCs/>
        </w:rPr>
        <w:t>Climate and Stormwater Hazard Assessment</w:t>
      </w:r>
      <w:r w:rsidRPr="00511A36">
        <w:rPr>
          <w:rFonts w:eastAsia="MS Mincho"/>
        </w:rPr>
        <w:t xml:space="preserve"> </w:t>
      </w:r>
      <w:r w:rsidRPr="002508EE">
        <w:rPr>
          <w:rFonts w:eastAsia="MS Mincho"/>
        </w:rPr>
        <w:t>a</w:t>
      </w:r>
      <w:r w:rsidR="00AE077B" w:rsidRPr="002508EE">
        <w:rPr>
          <w:rFonts w:eastAsia="MS Mincho"/>
        </w:rPr>
        <w:t xml:space="preserve">s </w:t>
      </w:r>
      <w:r w:rsidRPr="00511A36">
        <w:rPr>
          <w:rFonts w:eastAsia="MS Mincho"/>
        </w:rPr>
        <w:t xml:space="preserve">a resource </w:t>
      </w:r>
      <w:r w:rsidR="008A05C3" w:rsidRPr="002508EE">
        <w:rPr>
          <w:rFonts w:eastAsia="MS Mincho"/>
        </w:rPr>
        <w:t>to support regional compliance with Public Act 25-33</w:t>
      </w:r>
      <w:r w:rsidR="00BF6B8D" w:rsidRPr="002508EE">
        <w:rPr>
          <w:rFonts w:eastAsia="MS Mincho"/>
        </w:rPr>
        <w:t>.</w:t>
      </w:r>
      <w:r w:rsidR="00BF6B8D">
        <w:rPr>
          <w:rFonts w:eastAsia="MS Mincho"/>
        </w:rPr>
        <w:t xml:space="preserve"> </w:t>
      </w:r>
      <w:r w:rsidRPr="00511A36">
        <w:rPr>
          <w:rFonts w:eastAsia="MS Mincho"/>
        </w:rPr>
        <w:t xml:space="preserve">Among other facets of community planning, PA 25-33 </w:t>
      </w:r>
      <w:r w:rsidR="00E30709">
        <w:rPr>
          <w:rFonts w:eastAsia="MS Mincho"/>
        </w:rPr>
        <w:t>outlines</w:t>
      </w:r>
      <w:r w:rsidR="00E30709" w:rsidRPr="002508EE">
        <w:rPr>
          <w:rFonts w:eastAsia="MS Mincho"/>
        </w:rPr>
        <w:t xml:space="preserve"> </w:t>
      </w:r>
      <w:r w:rsidR="00D35140">
        <w:rPr>
          <w:rFonts w:eastAsia="MS Mincho"/>
        </w:rPr>
        <w:t>natural and</w:t>
      </w:r>
      <w:r w:rsidR="00D35140" w:rsidRPr="002508EE">
        <w:rPr>
          <w:rFonts w:eastAsia="MS Mincho"/>
        </w:rPr>
        <w:t xml:space="preserve"> climate</w:t>
      </w:r>
      <w:r w:rsidR="00E30709">
        <w:rPr>
          <w:rFonts w:eastAsia="MS Mincho"/>
        </w:rPr>
        <w:t xml:space="preserve"> hazard</w:t>
      </w:r>
      <w:r w:rsidR="00D35140" w:rsidRPr="002508EE">
        <w:rPr>
          <w:rFonts w:eastAsia="MS Mincho"/>
        </w:rPr>
        <w:t xml:space="preserve"> </w:t>
      </w:r>
      <w:r w:rsidRPr="00511A36">
        <w:rPr>
          <w:rFonts w:eastAsia="MS Mincho"/>
        </w:rPr>
        <w:t xml:space="preserve">requirements for state, regional, and local Plans of Conservation and Development (POCDs), which address long-term </w:t>
      </w:r>
      <w:r w:rsidR="00842CE9" w:rsidRPr="00511A36">
        <w:rPr>
          <w:rFonts w:eastAsia="MS Mincho"/>
        </w:rPr>
        <w:t>land-use, infrastructure, and natural resource policies</w:t>
      </w:r>
      <w:r w:rsidR="00D35140">
        <w:rPr>
          <w:rFonts w:eastAsia="MS Mincho"/>
        </w:rPr>
        <w:t>. These</w:t>
      </w:r>
      <w:r w:rsidRPr="00511A36">
        <w:rPr>
          <w:rFonts w:eastAsia="MS Mincho"/>
        </w:rPr>
        <w:t xml:space="preserve"> hazards </w:t>
      </w:r>
      <w:r w:rsidR="00D35140">
        <w:rPr>
          <w:rFonts w:eastAsia="MS Mincho"/>
        </w:rPr>
        <w:t>include</w:t>
      </w:r>
      <w:r w:rsidRPr="00511A36">
        <w:rPr>
          <w:rFonts w:eastAsia="MS Mincho"/>
        </w:rPr>
        <w:t xml:space="preserve">: </w:t>
      </w:r>
    </w:p>
    <w:p w14:paraId="17854D06" w14:textId="77777777" w:rsidR="004D42B8" w:rsidRPr="00511A36" w:rsidRDefault="004D42B8" w:rsidP="006F4EA8">
      <w:pPr>
        <w:pStyle w:val="ListParagraph"/>
        <w:numPr>
          <w:ilvl w:val="0"/>
          <w:numId w:val="7"/>
        </w:numPr>
        <w:rPr>
          <w:rFonts w:eastAsia="MS Mincho" w:hint="eastAsia"/>
        </w:rPr>
        <w:sectPr w:rsidR="004D42B8" w:rsidRPr="00511A36" w:rsidSect="00162924">
          <w:footerReference w:type="default" r:id="rId19"/>
          <w:pgSz w:w="12240" w:h="15840" w:code="1"/>
          <w:pgMar w:top="1440" w:right="1440" w:bottom="1440" w:left="1440" w:header="576" w:footer="540" w:gutter="0"/>
          <w:pgNumType w:start="1"/>
          <w:cols w:space="360"/>
          <w:docGrid w:linePitch="360"/>
        </w:sectPr>
      </w:pPr>
    </w:p>
    <w:p w14:paraId="29FC39E0" w14:textId="77777777" w:rsidR="00076597" w:rsidRPr="007B4302" w:rsidRDefault="00076597" w:rsidP="007B4302">
      <w:pPr>
        <w:pStyle w:val="Bullets"/>
        <w:rPr>
          <w:rFonts w:hint="eastAsia"/>
        </w:rPr>
      </w:pPr>
      <w:r w:rsidRPr="007B4302">
        <w:t>Increased Temperatures</w:t>
      </w:r>
    </w:p>
    <w:p w14:paraId="4C4501A5" w14:textId="77777777" w:rsidR="00076597" w:rsidRPr="007B4302" w:rsidRDefault="00076597" w:rsidP="007B4302">
      <w:pPr>
        <w:pStyle w:val="Bullets"/>
        <w:rPr>
          <w:rFonts w:hint="eastAsia"/>
        </w:rPr>
      </w:pPr>
      <w:r w:rsidRPr="007B4302">
        <w:t>Drought</w:t>
      </w:r>
    </w:p>
    <w:p w14:paraId="0E5CE46C" w14:textId="77777777" w:rsidR="00076597" w:rsidRPr="007B4302" w:rsidRDefault="00076597" w:rsidP="007B4302">
      <w:pPr>
        <w:pStyle w:val="Bullets"/>
        <w:rPr>
          <w:rFonts w:hint="eastAsia"/>
        </w:rPr>
      </w:pPr>
      <w:r w:rsidRPr="007B4302">
        <w:t>Flooding</w:t>
      </w:r>
    </w:p>
    <w:p w14:paraId="1CB3AFAB" w14:textId="77777777" w:rsidR="00076597" w:rsidRPr="007B4302" w:rsidRDefault="00076597" w:rsidP="007B4302">
      <w:pPr>
        <w:pStyle w:val="Bullets"/>
        <w:rPr>
          <w:rFonts w:hint="eastAsia"/>
        </w:rPr>
      </w:pPr>
      <w:r w:rsidRPr="007B4302">
        <w:t>Wildfire</w:t>
      </w:r>
    </w:p>
    <w:p w14:paraId="346701F2" w14:textId="77777777" w:rsidR="00076597" w:rsidRPr="007B4302" w:rsidRDefault="00076597" w:rsidP="007B4302">
      <w:pPr>
        <w:pStyle w:val="Bullets"/>
        <w:rPr>
          <w:rFonts w:hint="eastAsia"/>
        </w:rPr>
      </w:pPr>
      <w:r w:rsidRPr="007B4302">
        <w:t xml:space="preserve">Storm Damage </w:t>
      </w:r>
    </w:p>
    <w:p w14:paraId="6EC27E0C" w14:textId="77777777" w:rsidR="00076597" w:rsidRPr="007B4302" w:rsidRDefault="00076597" w:rsidP="007B4302">
      <w:pPr>
        <w:pStyle w:val="Bullets"/>
        <w:rPr>
          <w:rFonts w:hint="eastAsia"/>
        </w:rPr>
      </w:pPr>
      <w:r w:rsidRPr="007B4302">
        <w:t>Sea Level Rise</w:t>
      </w:r>
    </w:p>
    <w:p w14:paraId="689C231E" w14:textId="7A521AD8" w:rsidR="00076597" w:rsidRPr="002508EE" w:rsidRDefault="00076597" w:rsidP="007B4302">
      <w:pPr>
        <w:pStyle w:val="Bullets"/>
        <w:rPr>
          <w:rFonts w:hint="eastAsia"/>
        </w:rPr>
      </w:pPr>
      <w:r w:rsidRPr="007B4302">
        <w:t xml:space="preserve">Saltwater </w:t>
      </w:r>
      <w:r w:rsidRPr="002508EE">
        <w:t>Intrusion</w:t>
      </w:r>
    </w:p>
    <w:p w14:paraId="6FE88BD6" w14:textId="77777777" w:rsidR="004D42B8" w:rsidRPr="00511A36" w:rsidRDefault="004D42B8" w:rsidP="004D42B8">
      <w:pPr>
        <w:rPr>
          <w:rFonts w:eastAsia="Aptos" w:cs="Aptos"/>
        </w:rPr>
        <w:sectPr w:rsidR="004D42B8" w:rsidRPr="00511A36" w:rsidSect="00162924">
          <w:type w:val="continuous"/>
          <w:pgSz w:w="12240" w:h="15840" w:code="1"/>
          <w:pgMar w:top="1440" w:right="1440" w:bottom="1440" w:left="1440" w:header="576" w:footer="540" w:gutter="0"/>
          <w:cols w:num="2" w:space="360"/>
          <w:docGrid w:linePitch="360"/>
        </w:sectPr>
      </w:pPr>
    </w:p>
    <w:p w14:paraId="5EF44F14" w14:textId="6CA63A45" w:rsidR="004D42B8" w:rsidRPr="00511A36" w:rsidRDefault="004D42B8" w:rsidP="00BF6B8D">
      <w:pPr>
        <w:spacing w:before="360" w:line="278" w:lineRule="auto"/>
        <w:rPr>
          <w:rFonts w:eastAsia="Aptos" w:cs="Aptos"/>
        </w:rPr>
      </w:pPr>
      <w:r w:rsidRPr="00511A36">
        <w:rPr>
          <w:rFonts w:eastAsia="Aptos" w:cs="Aptos"/>
        </w:rPr>
        <w:t xml:space="preserve">While addressing all hazards </w:t>
      </w:r>
      <w:r w:rsidR="00856FD0">
        <w:rPr>
          <w:rFonts w:eastAsia="Aptos" w:cs="Aptos"/>
        </w:rPr>
        <w:t>required by</w:t>
      </w:r>
      <w:r w:rsidRPr="00511A36">
        <w:rPr>
          <w:rFonts w:eastAsia="Aptos" w:cs="Aptos"/>
        </w:rPr>
        <w:t xml:space="preserve"> PA 25-33, this assessment identifies flooding and stormwater performance as the region's principal risks. By synthesizing regional climate trends, precipitation projections, and watershed characteristics, the document establishes baseline conditions, consistent hazard characterizations, and unified technical conclusions across all member municipalities. </w:t>
      </w:r>
    </w:p>
    <w:p w14:paraId="5D8A959E" w14:textId="33FCEE68" w:rsidR="004D42B8" w:rsidRDefault="006557B8" w:rsidP="004D42B8">
      <w:pPr>
        <w:rPr>
          <w:rFonts w:eastAsia="Aptos" w:cs="Aptos"/>
        </w:rPr>
      </w:pPr>
      <w:r>
        <w:rPr>
          <w:rFonts w:eastAsia="Aptos" w:cs="Aptos"/>
        </w:rPr>
        <w:t>Assessment r</w:t>
      </w:r>
      <w:r w:rsidRPr="002508EE">
        <w:rPr>
          <w:rFonts w:eastAsia="Aptos" w:cs="Aptos"/>
        </w:rPr>
        <w:t>esults</w:t>
      </w:r>
      <w:r w:rsidR="004D42B8" w:rsidRPr="00511A36">
        <w:rPr>
          <w:rFonts w:eastAsia="Aptos" w:cs="Aptos"/>
        </w:rPr>
        <w:t xml:space="preserve"> are based on the latest state-mandated climate and sea-level rise projections. The assessment further evaluates how shifting precipitation patterns, runoff volumes, and drainage exceedances are expected to affect the area. All other identified hazards are evaluated to characterize their risks and interactions with regional hydrology, land cover, and the built environment. </w:t>
      </w:r>
    </w:p>
    <w:p w14:paraId="26902BC2" w14:textId="61A5AD0E" w:rsidR="00A07170" w:rsidRPr="00CB6B82" w:rsidRDefault="00A07170" w:rsidP="004D42B8">
      <w:pPr>
        <w:rPr>
          <w:rFonts w:eastAsia="Aptos" w:cs="Aptos"/>
        </w:rPr>
      </w:pPr>
      <w:r>
        <w:rPr>
          <w:rFonts w:eastAsia="Aptos" w:cs="Aptos"/>
          <w:noProof/>
        </w:rPr>
        <mc:AlternateContent>
          <mc:Choice Requires="wps">
            <w:drawing>
              <wp:inline distT="0" distB="0" distL="0" distR="0" wp14:anchorId="2BECD6B7" wp14:editId="17FCE4DB">
                <wp:extent cx="5943600" cy="1344706"/>
                <wp:effectExtent l="0" t="0" r="0" b="8255"/>
                <wp:docPr id="1037198184" name="Rectangle 1"/>
                <wp:cNvGraphicFramePr/>
                <a:graphic xmlns:a="http://schemas.openxmlformats.org/drawingml/2006/main">
                  <a:graphicData uri="http://schemas.microsoft.com/office/word/2010/wordprocessingShape">
                    <wps:wsp>
                      <wps:cNvSpPr/>
                      <wps:spPr>
                        <a:xfrm>
                          <a:off x="0" y="0"/>
                          <a:ext cx="5943600" cy="1344706"/>
                        </a:xfrm>
                        <a:prstGeom prst="rect">
                          <a:avLst/>
                        </a:prstGeom>
                        <a:solidFill>
                          <a:schemeClr val="accent3">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3BBCA0CE" w14:textId="0B9B52EB" w:rsidR="00A07170" w:rsidRPr="007B4302" w:rsidRDefault="00A07170" w:rsidP="00942251">
                            <w:pPr>
                              <w:rPr>
                                <w:rFonts w:hint="eastAsia"/>
                                <w:b/>
                                <w:bCs/>
                                <w:color w:val="FFFFFF" w:themeColor="background2"/>
                              </w:rPr>
                            </w:pPr>
                            <w:r w:rsidRPr="007B4302">
                              <w:rPr>
                                <w:b/>
                                <w:bCs/>
                                <w:color w:val="FFFFFF" w:themeColor="background2"/>
                              </w:rPr>
                              <w:t>How can climate projections influence planning efforts?</w:t>
                            </w:r>
                          </w:p>
                          <w:p w14:paraId="3D2E2480" w14:textId="4E71DD8B" w:rsidR="00A07170" w:rsidRPr="00734799" w:rsidRDefault="00A07170" w:rsidP="00942251">
                            <w:pPr>
                              <w:rPr>
                                <w:rFonts w:hint="eastAsia"/>
                                <w:color w:val="6FAD45" w:themeColor="accent1"/>
                              </w:rPr>
                            </w:pPr>
                            <w:r w:rsidRPr="007B4302">
                              <w:rPr>
                                <w:color w:val="FFFFFF" w:themeColor="background2"/>
                              </w:rPr>
                              <w:t>These trends highlight a growing risk of heavy rain and flooding, both inland and along the coast. As such, traditional precipitation frequency estimates that assume a stationary climate may be inadequate for long-term climate planning. Projections should be chosen with risk tolerance in mind: more conservative estimates may be appropriate for more critical assets.</w:t>
                            </w:r>
                          </w:p>
                        </w:txbxContent>
                      </wps:txbx>
                      <wps:bodyPr rot="0" spcFirstLastPara="0" vertOverflow="overflow" horzOverflow="overflow" vert="horz" wrap="square" lIns="256032" tIns="256032" rIns="256032" bIns="256032" numCol="1" spcCol="0" rtlCol="0" fromWordArt="0" anchor="t" anchorCtr="0" forceAA="0" compatLnSpc="1">
                        <a:prstTxWarp prst="textNoShape">
                          <a:avLst/>
                        </a:prstTxWarp>
                        <a:noAutofit/>
                      </wps:bodyPr>
                    </wps:wsp>
                  </a:graphicData>
                </a:graphic>
              </wp:inline>
            </w:drawing>
          </mc:Choice>
          <mc:Fallback>
            <w:pict>
              <v:rect w14:anchorId="2BECD6B7" id="Rectangle 1" o:spid="_x0000_s1027" style="width:468pt;height:105.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" fillcolor="#365389 [2406]" stroked="f">
                <v:textbox inset="20.16pt,20.16pt,20.16pt,20.16pt">
                  <w:txbxContent>
                    <w:p w14:paraId="3BBCA0CE" w14:textId="0B9B52EB" w:rsidR="00A07170" w:rsidRPr="007B4302" w:rsidRDefault="00A07170" w:rsidP="00942251">
                      <w:pPr>
                        <w:rPr>
                          <w:rFonts w:hint="eastAsia"/>
                          <w:b/>
                          <w:bCs/>
                          <w:color w:val="FFFFFF" w:themeColor="background2"/>
                        </w:rPr>
                      </w:pPr>
                      <w:r w:rsidRPr="007B4302">
                        <w:rPr>
                          <w:b/>
                          <w:bCs/>
                          <w:color w:val="FFFFFF" w:themeColor="background2"/>
                        </w:rPr>
                        <w:t>How can climate projections influence planning efforts?</w:t>
                      </w:r>
                    </w:p>
                    <w:p w14:paraId="3D2E2480" w14:textId="4E71DD8B" w:rsidR="00A07170" w:rsidRPr="00734799" w:rsidRDefault="00A07170" w:rsidP="00942251">
                      <w:pPr>
                        <w:rPr>
                          <w:rFonts w:hint="eastAsia"/>
                          <w:color w:val="6FAD45" w:themeColor="accent1"/>
                        </w:rPr>
                      </w:pPr>
                      <w:r w:rsidRPr="007B4302">
                        <w:rPr>
                          <w:color w:val="FFFFFF" w:themeColor="background2"/>
                        </w:rPr>
                        <w:t>These trends highlight a growing risk of heavy rain and flooding, both inland and along the coast. As such, traditional precipitation frequency estimates that assume a stationary climate may be inadequate for long-term climate planning. Projections should be chosen with risk tolerance in mind: more conservative estimates may be appropriate for more critical assets.</w:t>
                      </w:r>
                    </w:p>
                  </w:txbxContent>
                </v:textbox>
                <w10:anchorlock/>
              </v:rect>
            </w:pict>
          </mc:Fallback>
        </mc:AlternateContent>
      </w:r>
    </w:p>
    <w:p w14:paraId="289AC90F" w14:textId="45C17247" w:rsidR="004D42B8" w:rsidRPr="00511A36" w:rsidRDefault="004D42B8" w:rsidP="004D42B8">
      <w:pPr>
        <w:rPr>
          <w:rFonts w:eastAsia="Aptos" w:cs="Aptos"/>
        </w:rPr>
      </w:pPr>
      <w:r w:rsidRPr="00511A36">
        <w:rPr>
          <w:rFonts w:eastAsia="Aptos" w:cs="Aptos"/>
        </w:rPr>
        <w:t xml:space="preserve">Findings are presented with planning-scale technical detail </w:t>
      </w:r>
      <w:r w:rsidR="00192780" w:rsidRPr="002508EE">
        <w:rPr>
          <w:rFonts w:eastAsia="Aptos" w:cs="Aptos"/>
        </w:rPr>
        <w:t xml:space="preserve">such that </w:t>
      </w:r>
      <w:r w:rsidR="005569A4" w:rsidRPr="002508EE">
        <w:rPr>
          <w:rFonts w:eastAsia="Aptos" w:cs="Aptos"/>
        </w:rPr>
        <w:t>governing bodies can connect</w:t>
      </w:r>
      <w:r w:rsidRPr="00511A36">
        <w:rPr>
          <w:rFonts w:eastAsia="Aptos" w:cs="Aptos"/>
        </w:rPr>
        <w:t xml:space="preserve"> hazard information in the WestCOG Multi-Jurisdictional Hazard Mitigation Plan (WestCOG HMP) to </w:t>
      </w:r>
      <w:r w:rsidR="00B02EB1" w:rsidRPr="002508EE">
        <w:rPr>
          <w:rFonts w:eastAsia="Aptos" w:cs="Aptos"/>
        </w:rPr>
        <w:t xml:space="preserve">their adopted </w:t>
      </w:r>
      <w:r w:rsidRPr="00511A36">
        <w:rPr>
          <w:rFonts w:eastAsia="Aptos" w:cs="Aptos"/>
        </w:rPr>
        <w:t xml:space="preserve">POCD policy and land-use guidance. The 2021 WestCOG HMP Update was the first plan to address all </w:t>
      </w:r>
      <w:r w:rsidR="000956FA">
        <w:rPr>
          <w:rFonts w:eastAsia="Aptos" w:cs="Aptos"/>
        </w:rPr>
        <w:t>18</w:t>
      </w:r>
      <w:r w:rsidR="000956FA" w:rsidRPr="00511A36">
        <w:rPr>
          <w:rFonts w:eastAsia="Aptos" w:cs="Aptos"/>
        </w:rPr>
        <w:t xml:space="preserve"> </w:t>
      </w:r>
      <w:r w:rsidRPr="00511A36">
        <w:rPr>
          <w:rFonts w:eastAsia="Aptos" w:cs="Aptos"/>
        </w:rPr>
        <w:t xml:space="preserve">municipalities served by WestCOG and is complemented by municipal annexes. </w:t>
      </w:r>
      <w:r w:rsidR="00733792">
        <w:rPr>
          <w:rFonts w:eastAsia="Aptos" w:cs="Aptos"/>
        </w:rPr>
        <w:t>Similarly</w:t>
      </w:r>
      <w:r w:rsidRPr="00511A36">
        <w:t xml:space="preserve">, this assessment covers hazards with regional context, and municipality-specific information can be found in the accompanying </w:t>
      </w:r>
      <w:r w:rsidR="008D4C0A" w:rsidRPr="00936FE2">
        <w:rPr>
          <w:rFonts w:eastAsia="Arial"/>
          <w:i/>
          <w:iCs/>
        </w:rPr>
        <w:t xml:space="preserve">Locally Variable Hazard </w:t>
      </w:r>
      <w:r w:rsidR="008D4C0A">
        <w:rPr>
          <w:rFonts w:eastAsia="Arial"/>
          <w:i/>
          <w:iCs/>
        </w:rPr>
        <w:t>Assessment</w:t>
      </w:r>
      <w:r w:rsidRPr="00511A36">
        <w:t>.</w:t>
      </w:r>
      <w:r w:rsidRPr="00511A36">
        <w:rPr>
          <w:rFonts w:eastAsia="Aptos" w:cs="Aptos"/>
        </w:rPr>
        <w:t xml:space="preserve"> </w:t>
      </w:r>
    </w:p>
    <w:p w14:paraId="1A93BE1F" w14:textId="77777777" w:rsidR="00E25377" w:rsidRDefault="002073D7" w:rsidP="00734799">
      <w:pPr>
        <w:keepNext/>
        <w:rPr>
          <w:rFonts w:hint="eastAsia"/>
        </w:rPr>
      </w:pPr>
      <w:r>
        <w:rPr>
          <w:rFonts w:eastAsia="Aptos" w:cs="Aptos"/>
          <w:noProof/>
        </w:rPr>
        <w:drawing>
          <wp:inline distT="0" distB="0" distL="0" distR="0" wp14:anchorId="47978499" wp14:editId="6C28F131">
            <wp:extent cx="5486400" cy="1015340"/>
            <wp:effectExtent l="19050" t="0" r="19050" b="0"/>
            <wp:docPr id="1617418230" name="Diagram 2" descr="P262#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2C4C02F1" w14:textId="105FB242" w:rsidR="002073D7" w:rsidRDefault="00E25377" w:rsidP="00734799">
      <w:pPr>
        <w:pStyle w:val="Caption"/>
        <w:rPr>
          <w:rFonts w:eastAsia="Aptos" w:cs="Aptos"/>
        </w:rPr>
      </w:pPr>
      <w:bookmarkStart w:id="3" w:name="_Toc233228240"/>
      <w:r w:rsidRPr="00FF656B">
        <w:rPr>
          <w:b/>
          <w:bCs/>
        </w:rPr>
        <w:t xml:space="preserve">Figure </w:t>
      </w:r>
      <w:r w:rsidR="00A4037A" w:rsidRPr="00FF656B">
        <w:rPr>
          <w:b/>
          <w:bCs/>
        </w:rPr>
        <w:fldChar w:fldCharType="begin"/>
      </w:r>
      <w:r w:rsidR="00A4037A" w:rsidRPr="00FF656B">
        <w:rPr>
          <w:b/>
          <w:bCs/>
        </w:rPr>
        <w:instrText xml:space="preserve"> SEQ Figure \* ARABIC </w:instrText>
      </w:r>
      <w:r w:rsidR="00A4037A" w:rsidRPr="00FF656B">
        <w:rPr>
          <w:b/>
          <w:bCs/>
        </w:rPr>
        <w:fldChar w:fldCharType="separate"/>
      </w:r>
      <w:r w:rsidR="00CD3F8E">
        <w:rPr>
          <w:b/>
          <w:bCs/>
          <w:noProof/>
        </w:rPr>
        <w:t>1</w:t>
      </w:r>
      <w:r w:rsidR="00A4037A" w:rsidRPr="00FF656B">
        <w:rPr>
          <w:b/>
          <w:bCs/>
          <w:noProof/>
        </w:rPr>
        <w:fldChar w:fldCharType="end"/>
      </w:r>
      <w:r w:rsidRPr="00FF656B">
        <w:rPr>
          <w:b/>
          <w:bCs/>
        </w:rPr>
        <w:t>.</w:t>
      </w:r>
      <w:r>
        <w:t xml:space="preserve"> Hazard Assessment i</w:t>
      </w:r>
      <w:r w:rsidRPr="00F473FC">
        <w:t xml:space="preserve">nformation </w:t>
      </w:r>
      <w:r>
        <w:t>w</w:t>
      </w:r>
      <w:r w:rsidRPr="00F473FC">
        <w:t>orkflow</w:t>
      </w:r>
      <w:r>
        <w:rPr>
          <w:noProof/>
        </w:rPr>
        <w:t>.</w:t>
      </w:r>
      <w:bookmarkEnd w:id="3"/>
    </w:p>
    <w:p w14:paraId="2F73DEB4" w14:textId="77777777" w:rsidR="00655BB4" w:rsidRDefault="00655BB4" w:rsidP="004D42B8">
      <w:pPr>
        <w:rPr>
          <w:rFonts w:eastAsia="Aptos" w:cs="Aptos"/>
        </w:rPr>
      </w:pPr>
    </w:p>
    <w:p w14:paraId="076A5564" w14:textId="39DEF662" w:rsidR="000765EF" w:rsidRDefault="00653970" w:rsidP="004D42B8">
      <w:pPr>
        <w:rPr>
          <w:rFonts w:eastAsia="Aptos" w:cs="Aptos"/>
        </w:rPr>
      </w:pPr>
      <w:r w:rsidRPr="002508EE">
        <w:rPr>
          <w:rFonts w:eastAsia="Aptos" w:cs="Aptos"/>
        </w:rPr>
        <w:t>This document provides actionable climate data for direct integration into regional and local POCDs</w:t>
      </w:r>
      <w:r w:rsidR="00BB6D12">
        <w:rPr>
          <w:rFonts w:eastAsia="Aptos" w:cs="Aptos"/>
        </w:rPr>
        <w:t>. Estimated frequencies, intensities, and quantities are summarized</w:t>
      </w:r>
      <w:r w:rsidR="00061F60">
        <w:rPr>
          <w:rFonts w:eastAsia="Aptos" w:cs="Aptos"/>
        </w:rPr>
        <w:t xml:space="preserve"> under “Key Planning</w:t>
      </w:r>
      <w:r w:rsidR="00F654EE">
        <w:rPr>
          <w:rFonts w:eastAsia="Aptos" w:cs="Aptos"/>
        </w:rPr>
        <w:t xml:space="preserve"> Information</w:t>
      </w:r>
      <w:r w:rsidR="00061F60">
        <w:rPr>
          <w:rFonts w:eastAsia="Aptos" w:cs="Aptos"/>
        </w:rPr>
        <w:t xml:space="preserve">” in each hazard section. </w:t>
      </w:r>
      <w:r w:rsidR="00AE7DC3">
        <w:rPr>
          <w:rFonts w:eastAsia="Aptos" w:cs="Aptos"/>
        </w:rPr>
        <w:t xml:space="preserve">“Identified Best Practices” highlight </w:t>
      </w:r>
      <w:r w:rsidR="00324160">
        <w:rPr>
          <w:rFonts w:eastAsia="Aptos" w:cs="Aptos"/>
        </w:rPr>
        <w:t xml:space="preserve">recommendations </w:t>
      </w:r>
      <w:r w:rsidR="00BB6D12">
        <w:rPr>
          <w:rFonts w:eastAsia="Aptos" w:cs="Aptos"/>
        </w:rPr>
        <w:t xml:space="preserve">for using this information </w:t>
      </w:r>
      <w:r w:rsidR="00B1060D">
        <w:rPr>
          <w:rFonts w:eastAsia="Aptos" w:cs="Aptos"/>
        </w:rPr>
        <w:t xml:space="preserve">in </w:t>
      </w:r>
      <w:r w:rsidR="00B018C2">
        <w:rPr>
          <w:rFonts w:eastAsia="Aptos" w:cs="Aptos"/>
        </w:rPr>
        <w:t xml:space="preserve">community </w:t>
      </w:r>
      <w:r w:rsidR="00622232">
        <w:rPr>
          <w:rFonts w:eastAsia="Aptos" w:cs="Aptos"/>
        </w:rPr>
        <w:t>planning but</w:t>
      </w:r>
      <w:r w:rsidR="00144CB5">
        <w:rPr>
          <w:rFonts w:eastAsia="Aptos" w:cs="Aptos"/>
        </w:rPr>
        <w:t xml:space="preserve"> are not prescriptive nor decisional.</w:t>
      </w:r>
    </w:p>
    <w:p w14:paraId="4873D9E1" w14:textId="5B6292DF" w:rsidR="004D42B8" w:rsidRPr="00511A36" w:rsidRDefault="004D42B8" w:rsidP="00BF6B8D">
      <w:pPr>
        <w:rPr>
          <w:rFonts w:hint="eastAsia"/>
        </w:rPr>
      </w:pPr>
      <w:r w:rsidRPr="00511A36">
        <w:rPr>
          <w:rFonts w:eastAsia="Aptos" w:cs="Aptos"/>
        </w:rPr>
        <w:t>All results are formatted as geospatial data compatible with state and municipal GIS systems, supplemented by maps and summary figures.</w:t>
      </w:r>
    </w:p>
    <w:p w14:paraId="36A2FCA6" w14:textId="77777777" w:rsidR="00BB6D12" w:rsidRDefault="00BB6D12" w:rsidP="00BF6B8D">
      <w:pPr>
        <w:rPr>
          <w:rFonts w:eastAsia="Aptos" w:cs="Aptos"/>
        </w:rPr>
      </w:pPr>
    </w:p>
    <w:p w14:paraId="1F7A659B" w14:textId="77777777" w:rsidR="004D42B8" w:rsidRPr="00511A36" w:rsidRDefault="004D42B8" w:rsidP="004D42B8">
      <w:pPr>
        <w:pStyle w:val="Heading1"/>
        <w:rPr>
          <w:rFonts w:hint="eastAsia"/>
        </w:rPr>
      </w:pPr>
      <w:bookmarkStart w:id="4" w:name="_Toc233228198"/>
      <w:r w:rsidRPr="00511A36">
        <w:t>Regional Context</w:t>
      </w:r>
      <w:bookmarkEnd w:id="4"/>
    </w:p>
    <w:p w14:paraId="40988465" w14:textId="71B677D6" w:rsidR="004D42B8" w:rsidRPr="00511A36" w:rsidRDefault="004D42B8" w:rsidP="004D42B8">
      <w:pPr>
        <w:rPr>
          <w:rFonts w:cstheme="minorHAnsi" w:hint="eastAsia"/>
        </w:rPr>
      </w:pPr>
      <w:r w:rsidRPr="002508EE">
        <w:t xml:space="preserve">The WestCOG </w:t>
      </w:r>
      <w:r w:rsidR="007D5297">
        <w:t>region</w:t>
      </w:r>
      <w:r w:rsidRPr="002508EE">
        <w:t xml:space="preserve"> is composed of 18 member municipalities: the principal cities of Stamford, Norwalk, and Danbury, and fifteen towns, including Bethel, Bridgewater, Brookfield, Darien, Greenwich, New Canaan, New Fairfield, New Milford, Newtown, Redding, Ridgefield, Sherman, Weston, Westport, and Wilton. The total study area is approximately 550 square miles in size, located in the southwest corner of Connecticut </w:t>
      </w:r>
      <w:r w:rsidR="00EA27A8">
        <w:rPr>
          <w:rFonts w:cstheme="minorHAnsi"/>
        </w:rPr>
        <w:t>(</w:t>
      </w:r>
      <w:r w:rsidR="00EA27A8" w:rsidRPr="00843358">
        <w:rPr>
          <w:rFonts w:cstheme="minorHAnsi"/>
        </w:rPr>
        <w:fldChar w:fldCharType="begin" w:fldLock="1"/>
      </w:r>
      <w:r w:rsidR="00EA27A8" w:rsidRPr="00843358">
        <w:rPr>
          <w:rFonts w:cstheme="minorHAnsi"/>
        </w:rPr>
        <w:instrText xml:space="preserve"> REF _Ref228887643 \h </w:instrText>
      </w:r>
      <w:r w:rsidR="005E43AE" w:rsidRPr="00843358">
        <w:rPr>
          <w:rFonts w:cstheme="minorHAnsi"/>
        </w:rPr>
        <w:instrText xml:space="preserve"> \* MERGEFORMAT </w:instrText>
      </w:r>
      <w:r w:rsidR="00EA27A8" w:rsidRPr="00843358">
        <w:rPr>
          <w:rFonts w:cstheme="minorHAnsi"/>
        </w:rPr>
      </w:r>
      <w:r w:rsidR="00EA27A8" w:rsidRPr="00843358">
        <w:rPr>
          <w:rFonts w:cstheme="minorHAnsi"/>
        </w:rPr>
        <w:fldChar w:fldCharType="separate"/>
      </w:r>
      <w:r w:rsidR="00AB64CB" w:rsidRPr="002508EE">
        <w:t xml:space="preserve">Figure </w:t>
      </w:r>
      <w:r w:rsidR="00AB64CB">
        <w:rPr>
          <w:noProof/>
        </w:rPr>
        <w:t>2</w:t>
      </w:r>
      <w:r w:rsidR="00EA27A8" w:rsidRPr="00843358">
        <w:rPr>
          <w:rFonts w:cstheme="minorHAnsi"/>
        </w:rPr>
        <w:fldChar w:fldCharType="end"/>
      </w:r>
      <w:r w:rsidR="00EA27A8">
        <w:rPr>
          <w:rFonts w:cstheme="minorHAnsi"/>
        </w:rPr>
        <w:t>)</w:t>
      </w:r>
      <w:r w:rsidRPr="00511A36">
        <w:rPr>
          <w:rFonts w:cstheme="minorHAnsi"/>
        </w:rPr>
        <w:t>.</w:t>
      </w:r>
    </w:p>
    <w:p w14:paraId="44191204" w14:textId="2949EB15" w:rsidR="00E422DB" w:rsidRPr="002508EE" w:rsidRDefault="00E422DB" w:rsidP="00E422DB">
      <w:pPr>
        <w:rPr>
          <w:rFonts w:eastAsia="MS Mincho" w:cstheme="minorHAnsi" w:hint="eastAsia"/>
        </w:rPr>
      </w:pPr>
      <w:r w:rsidRPr="00B32F4A">
        <w:rPr>
          <w:rFonts w:eastAsia="MS Mincho" w:cstheme="minorHAnsi"/>
        </w:rPr>
        <w:t>The region is characterized by predominantly forested suburban landscapes, punctuated by several concentrated urban centers and complemented by extensive inland wetlands and ecologically sensitive coastal areas along Long Island Sound</w:t>
      </w:r>
      <w:r>
        <w:rPr>
          <w:rFonts w:eastAsia="MS Mincho" w:cstheme="minorHAnsi"/>
        </w:rPr>
        <w:t>. S</w:t>
      </w:r>
      <w:r w:rsidRPr="002508EE">
        <w:rPr>
          <w:rFonts w:eastAsia="MS Mincho" w:cstheme="minorHAnsi"/>
        </w:rPr>
        <w:t>outhern coastal areas</w:t>
      </w:r>
      <w:r>
        <w:rPr>
          <w:rFonts w:eastAsia="MS Mincho" w:cstheme="minorHAnsi"/>
        </w:rPr>
        <w:t>, including</w:t>
      </w:r>
      <w:r w:rsidRPr="002508EE">
        <w:rPr>
          <w:rFonts w:eastAsia="MS Mincho" w:cstheme="minorHAnsi"/>
        </w:rPr>
        <w:t xml:space="preserve"> Stamford and Norwalk</w:t>
      </w:r>
      <w:r>
        <w:rPr>
          <w:rFonts w:eastAsia="MS Mincho" w:cstheme="minorHAnsi"/>
        </w:rPr>
        <w:t>, are the most densely populated, as is th</w:t>
      </w:r>
      <w:r w:rsidRPr="002508EE">
        <w:rPr>
          <w:rFonts w:eastAsia="MS Mincho" w:cstheme="minorHAnsi"/>
        </w:rPr>
        <w:t xml:space="preserve">e northern inland city of Danbury. Outside these highly developed urban areas and surrounding low- to </w:t>
      </w:r>
      <w:r>
        <w:rPr>
          <w:rFonts w:eastAsia="MS Mincho" w:cstheme="minorHAnsi"/>
        </w:rPr>
        <w:t>medium-population-density areas</w:t>
      </w:r>
      <w:r w:rsidRPr="002508EE">
        <w:rPr>
          <w:rFonts w:eastAsia="MS Mincho" w:cstheme="minorHAnsi"/>
        </w:rPr>
        <w:t xml:space="preserve">, this region is primarily deciduous </w:t>
      </w:r>
      <w:proofErr w:type="gramStart"/>
      <w:r w:rsidRPr="002508EE">
        <w:rPr>
          <w:rFonts w:eastAsia="MS Mincho" w:cstheme="minorHAnsi"/>
        </w:rPr>
        <w:t>forest</w:t>
      </w:r>
      <w:proofErr w:type="gramEnd"/>
      <w:r w:rsidRPr="002508EE">
        <w:rPr>
          <w:rFonts w:eastAsia="MS Mincho" w:cstheme="minorHAnsi"/>
        </w:rPr>
        <w:t xml:space="preserve"> and various wetlands. The coastal region is most at risk to climate hazards</w:t>
      </w:r>
      <w:r>
        <w:rPr>
          <w:rFonts w:eastAsia="MS Mincho" w:cstheme="minorHAnsi"/>
        </w:rPr>
        <w:t>;</w:t>
      </w:r>
      <w:r w:rsidRPr="002508EE">
        <w:rPr>
          <w:rFonts w:eastAsia="MS Mincho" w:cstheme="minorHAnsi"/>
        </w:rPr>
        <w:t xml:space="preserve"> not only is it most densely populated, but it also contains ecologically sensitive tidal wetlands, which are particularly susceptible to climate-related hazards such as drought, storm surge, and coastal flooding. </w:t>
      </w:r>
    </w:p>
    <w:p w14:paraId="39244D5A" w14:textId="13CC3D94" w:rsidR="00E422DB" w:rsidRDefault="00E422DB" w:rsidP="004D42B8">
      <w:pPr>
        <w:rPr>
          <w:rFonts w:cstheme="minorHAnsi" w:hint="eastAsia"/>
        </w:rPr>
      </w:pPr>
      <w:r>
        <w:rPr>
          <w:rFonts w:cstheme="minorHAnsi"/>
        </w:rPr>
        <w:t>Communities are thus categorized for this Assessment by coastal or inland geographies and further delineated by population density, from high to low. There are no Coastal-</w:t>
      </w:r>
      <w:r w:rsidR="000956FA">
        <w:rPr>
          <w:rFonts w:cstheme="minorHAnsi"/>
        </w:rPr>
        <w:t>Low-</w:t>
      </w:r>
      <w:r>
        <w:rPr>
          <w:rFonts w:cstheme="minorHAnsi"/>
        </w:rPr>
        <w:t>Density communities in the study area.</w:t>
      </w:r>
    </w:p>
    <w:p w14:paraId="57640068" w14:textId="77777777" w:rsidR="00521E47" w:rsidRPr="002508EE" w:rsidRDefault="00521E47" w:rsidP="00734799">
      <w:pPr>
        <w:pStyle w:val="ListParagraph"/>
        <w:keepNext/>
        <w:ind w:left="0"/>
        <w:jc w:val="center"/>
        <w:rPr>
          <w:rFonts w:hint="eastAsia"/>
        </w:rPr>
      </w:pPr>
      <w:r w:rsidRPr="002508EE">
        <w:rPr>
          <w:noProof/>
        </w:rPr>
        <w:drawing>
          <wp:inline distT="0" distB="0" distL="0" distR="0" wp14:anchorId="20348464" wp14:editId="60CB0DF2">
            <wp:extent cx="5284888" cy="5945499"/>
            <wp:effectExtent l="19050" t="19050" r="11430" b="17780"/>
            <wp:docPr id="1807936437" name="Picture 180793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936437" name="Picture 1807936437"/>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284888" cy="5945499"/>
                    </a:xfrm>
                    <a:prstGeom prst="rect">
                      <a:avLst/>
                    </a:prstGeom>
                    <a:noFill/>
                    <a:ln>
                      <a:solidFill>
                        <a:schemeClr val="tx1"/>
                      </a:solidFill>
                    </a:ln>
                  </pic:spPr>
                </pic:pic>
              </a:graphicData>
            </a:graphic>
          </wp:inline>
        </w:drawing>
      </w:r>
    </w:p>
    <w:p w14:paraId="392DFFDE" w14:textId="7DC11C60" w:rsidR="007C08A6" w:rsidRDefault="00521E47" w:rsidP="00862FDD">
      <w:pPr>
        <w:pStyle w:val="Caption"/>
        <w:jc w:val="center"/>
        <w:rPr>
          <w:rFonts w:hint="eastAsia"/>
        </w:rPr>
      </w:pPr>
      <w:bookmarkStart w:id="5" w:name="_Ref228887643"/>
      <w:bookmarkStart w:id="6" w:name="_Toc233228241"/>
      <w:r w:rsidRPr="00862FDD">
        <w:rPr>
          <w:b/>
          <w:bCs/>
        </w:rPr>
        <w:t xml:space="preserve">Figure </w:t>
      </w:r>
      <w:r w:rsidR="00383887" w:rsidRPr="00862FDD">
        <w:rPr>
          <w:b/>
          <w:bCs/>
        </w:rPr>
        <w:fldChar w:fldCharType="begin"/>
      </w:r>
      <w:r w:rsidR="00383887" w:rsidRPr="00862FDD">
        <w:rPr>
          <w:b/>
          <w:bCs/>
        </w:rPr>
        <w:instrText xml:space="preserve"> SEQ Figure \* ARABIC </w:instrText>
      </w:r>
      <w:r w:rsidR="00383887" w:rsidRPr="00862FDD">
        <w:rPr>
          <w:b/>
          <w:bCs/>
        </w:rPr>
        <w:fldChar w:fldCharType="separate"/>
      </w:r>
      <w:r w:rsidR="00CD3F8E">
        <w:rPr>
          <w:b/>
          <w:bCs/>
          <w:noProof/>
        </w:rPr>
        <w:t>2</w:t>
      </w:r>
      <w:r w:rsidR="00383887" w:rsidRPr="00862FDD">
        <w:rPr>
          <w:b/>
          <w:bCs/>
        </w:rPr>
        <w:fldChar w:fldCharType="end"/>
      </w:r>
      <w:bookmarkEnd w:id="5"/>
      <w:r w:rsidRPr="00862FDD">
        <w:rPr>
          <w:b/>
          <w:bCs/>
        </w:rPr>
        <w:t>.</w:t>
      </w:r>
      <w:r w:rsidR="00EA27A8">
        <w:t xml:space="preserve"> </w:t>
      </w:r>
      <w:r w:rsidR="00EA27A8" w:rsidRPr="002508EE">
        <w:t>WestCOG Study Area and member municipalities.</w:t>
      </w:r>
      <w:bookmarkEnd w:id="6"/>
    </w:p>
    <w:p w14:paraId="27A06285" w14:textId="77777777" w:rsidR="000956FA" w:rsidRDefault="000956FA">
      <w:pPr>
        <w:spacing w:line="259" w:lineRule="auto"/>
        <w:rPr>
          <w:rFonts w:hint="eastAsia"/>
          <w:b/>
          <w:bCs/>
          <w:color w:val="000000" w:themeColor="text2"/>
          <w:sz w:val="18"/>
          <w:szCs w:val="18"/>
        </w:rPr>
      </w:pPr>
      <w:bookmarkStart w:id="7" w:name="_Toc233227495"/>
      <w:r>
        <w:rPr>
          <w:b/>
          <w:bCs/>
        </w:rPr>
        <w:br w:type="page"/>
      </w:r>
    </w:p>
    <w:p w14:paraId="1A6C4013" w14:textId="3A27E59C" w:rsidR="00EA27A8" w:rsidRDefault="003D2CC3" w:rsidP="00734799">
      <w:pPr>
        <w:pStyle w:val="Caption"/>
        <w:rPr>
          <w:rFonts w:hint="eastAsia"/>
        </w:rPr>
      </w:pPr>
      <w:r w:rsidRPr="00862FDD">
        <w:rPr>
          <w:b/>
          <w:bCs/>
        </w:rPr>
        <w:t xml:space="preserve">Table </w:t>
      </w:r>
      <w:r w:rsidRPr="00862FDD">
        <w:rPr>
          <w:b/>
          <w:bCs/>
        </w:rPr>
        <w:fldChar w:fldCharType="begin"/>
      </w:r>
      <w:r w:rsidRPr="00862FDD">
        <w:rPr>
          <w:b/>
          <w:bCs/>
        </w:rPr>
        <w:instrText xml:space="preserve"> SEQ Table \* ARABIC </w:instrText>
      </w:r>
      <w:r w:rsidRPr="00862FDD">
        <w:rPr>
          <w:b/>
          <w:bCs/>
        </w:rPr>
        <w:fldChar w:fldCharType="separate"/>
      </w:r>
      <w:r w:rsidR="00AB64CB" w:rsidRPr="00862FDD">
        <w:rPr>
          <w:b/>
          <w:bCs/>
          <w:noProof/>
        </w:rPr>
        <w:t>2</w:t>
      </w:r>
      <w:r w:rsidRPr="00862FDD">
        <w:rPr>
          <w:b/>
          <w:bCs/>
          <w:noProof/>
        </w:rPr>
        <w:fldChar w:fldCharType="end"/>
      </w:r>
      <w:r w:rsidRPr="00862FDD">
        <w:rPr>
          <w:b/>
          <w:bCs/>
        </w:rPr>
        <w:t>.</w:t>
      </w:r>
      <w:r>
        <w:t xml:space="preserve"> </w:t>
      </w:r>
      <w:r w:rsidRPr="009972F8">
        <w:t>Community Categorization within WestCOG</w:t>
      </w:r>
      <w:bookmarkEnd w:id="7"/>
    </w:p>
    <w:tbl>
      <w:tblPr>
        <w:tblW w:w="9351" w:type="dxa"/>
        <w:tblLayout w:type="fixed"/>
        <w:tblLook w:val="04A0" w:firstRow="1" w:lastRow="0" w:firstColumn="1" w:lastColumn="0" w:noHBand="0" w:noVBand="1"/>
      </w:tblPr>
      <w:tblGrid>
        <w:gridCol w:w="1885"/>
        <w:gridCol w:w="1751"/>
        <w:gridCol w:w="1428"/>
        <w:gridCol w:w="1427"/>
        <w:gridCol w:w="1428"/>
        <w:gridCol w:w="1432"/>
      </w:tblGrid>
      <w:tr w:rsidR="0040066E" w:rsidRPr="006D424D" w14:paraId="64F5EC60" w14:textId="77777777" w:rsidTr="00162924">
        <w:trPr>
          <w:trHeight w:val="422"/>
          <w:tblHeader/>
        </w:trPr>
        <w:tc>
          <w:tcPr>
            <w:tcW w:w="1885" w:type="dxa"/>
            <w:vMerge w:val="restart"/>
            <w:tcBorders>
              <w:top w:val="single" w:sz="4" w:space="0" w:color="auto"/>
              <w:left w:val="single" w:sz="4" w:space="0" w:color="auto"/>
              <w:bottom w:val="single" w:sz="4" w:space="0" w:color="auto"/>
              <w:right w:val="single" w:sz="4" w:space="0" w:color="auto"/>
            </w:tcBorders>
            <w:shd w:val="clear" w:color="auto" w:fill="6FAD45" w:themeFill="accent1"/>
            <w:noWrap/>
            <w:vAlign w:val="center"/>
            <w:hideMark/>
          </w:tcPr>
          <w:p w14:paraId="3E6BC8BD" w14:textId="77777777" w:rsidR="009205F9" w:rsidRPr="00734799" w:rsidRDefault="009205F9">
            <w:pPr>
              <w:spacing w:after="0" w:line="240" w:lineRule="auto"/>
              <w:jc w:val="center"/>
              <w:rPr>
                <w:rFonts w:eastAsia="Times New Roman" w:cstheme="minorHAnsi"/>
                <w:b/>
                <w:bCs/>
                <w:color w:val="FFFFFF"/>
                <w:sz w:val="22"/>
                <w:szCs w:val="22"/>
                <w:lang w:eastAsia="en-US"/>
              </w:rPr>
            </w:pPr>
            <w:r w:rsidRPr="00734799">
              <w:rPr>
                <w:rFonts w:eastAsia="Times New Roman" w:cstheme="minorHAnsi"/>
                <w:b/>
                <w:bCs/>
                <w:color w:val="FFFFFF"/>
                <w:sz w:val="22"/>
                <w:szCs w:val="22"/>
                <w:lang w:eastAsia="en-US"/>
              </w:rPr>
              <w:t>Community</w:t>
            </w:r>
          </w:p>
        </w:tc>
        <w:tc>
          <w:tcPr>
            <w:tcW w:w="7466" w:type="dxa"/>
            <w:gridSpan w:val="5"/>
            <w:tcBorders>
              <w:top w:val="single" w:sz="4" w:space="0" w:color="auto"/>
              <w:left w:val="nil"/>
              <w:bottom w:val="single" w:sz="4" w:space="0" w:color="auto"/>
              <w:right w:val="single" w:sz="4" w:space="0" w:color="auto"/>
            </w:tcBorders>
            <w:shd w:val="clear" w:color="auto" w:fill="6FAD45" w:themeFill="accent1"/>
            <w:noWrap/>
            <w:vAlign w:val="center"/>
            <w:hideMark/>
          </w:tcPr>
          <w:p w14:paraId="4800E249" w14:textId="25DFC440" w:rsidR="009205F9" w:rsidRPr="00734799" w:rsidRDefault="009205F9">
            <w:pPr>
              <w:spacing w:after="0" w:line="240" w:lineRule="auto"/>
              <w:jc w:val="center"/>
              <w:rPr>
                <w:rFonts w:eastAsia="Times New Roman" w:cstheme="minorHAnsi"/>
                <w:b/>
                <w:bCs/>
                <w:color w:val="FFFFFF"/>
                <w:sz w:val="22"/>
                <w:szCs w:val="22"/>
                <w:lang w:eastAsia="en-US"/>
              </w:rPr>
            </w:pPr>
            <w:r w:rsidRPr="00734799">
              <w:rPr>
                <w:rFonts w:eastAsia="Times New Roman" w:cstheme="minorHAnsi"/>
                <w:b/>
                <w:bCs/>
                <w:color w:val="FFFFFF"/>
                <w:sz w:val="22"/>
                <w:szCs w:val="22"/>
                <w:lang w:eastAsia="en-US"/>
              </w:rPr>
              <w:t xml:space="preserve">Community </w:t>
            </w:r>
            <w:r>
              <w:rPr>
                <w:rFonts w:eastAsia="Times New Roman" w:cstheme="minorHAnsi"/>
                <w:b/>
                <w:bCs/>
                <w:color w:val="FFFFFF"/>
                <w:sz w:val="22"/>
                <w:szCs w:val="22"/>
                <w:lang w:eastAsia="en-US"/>
              </w:rPr>
              <w:t>Category</w:t>
            </w:r>
          </w:p>
        </w:tc>
      </w:tr>
      <w:tr w:rsidR="00AD1AD5" w:rsidRPr="006D424D" w14:paraId="1C2D0EA7" w14:textId="77777777" w:rsidTr="00162924">
        <w:trPr>
          <w:trHeight w:val="337"/>
          <w:tblHeader/>
        </w:trPr>
        <w:tc>
          <w:tcPr>
            <w:tcW w:w="1885" w:type="dxa"/>
            <w:vMerge/>
            <w:tcBorders>
              <w:top w:val="single" w:sz="4" w:space="0" w:color="auto"/>
              <w:left w:val="single" w:sz="4" w:space="0" w:color="auto"/>
              <w:bottom w:val="single" w:sz="4" w:space="0" w:color="auto"/>
              <w:right w:val="single" w:sz="4" w:space="0" w:color="auto"/>
            </w:tcBorders>
            <w:shd w:val="clear" w:color="auto" w:fill="6FAD45" w:themeFill="accent1"/>
            <w:vAlign w:val="center"/>
            <w:hideMark/>
          </w:tcPr>
          <w:p w14:paraId="497A0141" w14:textId="77777777" w:rsidR="009205F9" w:rsidRPr="00734799" w:rsidRDefault="009205F9">
            <w:pPr>
              <w:spacing w:after="0" w:line="240" w:lineRule="auto"/>
              <w:jc w:val="center"/>
              <w:rPr>
                <w:rFonts w:eastAsia="Times New Roman" w:cstheme="minorHAnsi"/>
                <w:b/>
                <w:bCs/>
                <w:color w:val="FFFFFF"/>
                <w:sz w:val="22"/>
                <w:szCs w:val="22"/>
                <w:lang w:eastAsia="en-US"/>
              </w:rPr>
            </w:pPr>
          </w:p>
        </w:tc>
        <w:tc>
          <w:tcPr>
            <w:tcW w:w="1751" w:type="dxa"/>
            <w:tcBorders>
              <w:top w:val="nil"/>
              <w:left w:val="nil"/>
              <w:bottom w:val="single" w:sz="4" w:space="0" w:color="auto"/>
              <w:right w:val="single" w:sz="4" w:space="0" w:color="auto"/>
            </w:tcBorders>
            <w:shd w:val="clear" w:color="auto" w:fill="6FAD45" w:themeFill="accent1"/>
            <w:noWrap/>
            <w:vAlign w:val="center"/>
            <w:hideMark/>
          </w:tcPr>
          <w:p w14:paraId="688F0768" w14:textId="2DE1F93F" w:rsidR="009205F9" w:rsidRPr="00734799" w:rsidRDefault="009205F9">
            <w:pPr>
              <w:spacing w:after="0" w:line="240" w:lineRule="auto"/>
              <w:jc w:val="center"/>
              <w:rPr>
                <w:rFonts w:eastAsia="Times New Roman" w:cstheme="minorHAnsi"/>
                <w:b/>
                <w:bCs/>
                <w:color w:val="FFFFFF"/>
                <w:sz w:val="22"/>
                <w:szCs w:val="22"/>
                <w:lang w:eastAsia="en-US"/>
              </w:rPr>
            </w:pPr>
            <w:r w:rsidRPr="00734799">
              <w:rPr>
                <w:rFonts w:eastAsia="Times New Roman" w:cstheme="minorHAnsi"/>
                <w:b/>
                <w:bCs/>
                <w:color w:val="FFFFFF"/>
                <w:sz w:val="22"/>
                <w:szCs w:val="22"/>
                <w:lang w:eastAsia="en-US"/>
              </w:rPr>
              <w:t>Coastal-</w:t>
            </w:r>
            <w:r>
              <w:rPr>
                <w:rFonts w:eastAsia="Times New Roman" w:cstheme="minorHAnsi"/>
                <w:b/>
                <w:bCs/>
                <w:color w:val="FFFFFF"/>
                <w:sz w:val="22"/>
                <w:szCs w:val="22"/>
                <w:lang w:eastAsia="en-US"/>
              </w:rPr>
              <w:t>High</w:t>
            </w:r>
          </w:p>
        </w:tc>
        <w:tc>
          <w:tcPr>
            <w:tcW w:w="1428" w:type="dxa"/>
            <w:tcBorders>
              <w:top w:val="nil"/>
              <w:left w:val="nil"/>
              <w:bottom w:val="single" w:sz="4" w:space="0" w:color="auto"/>
              <w:right w:val="single" w:sz="4" w:space="0" w:color="auto"/>
            </w:tcBorders>
            <w:shd w:val="clear" w:color="auto" w:fill="6FAD45" w:themeFill="accent1"/>
            <w:noWrap/>
            <w:vAlign w:val="center"/>
            <w:hideMark/>
          </w:tcPr>
          <w:p w14:paraId="521C1718" w14:textId="472805C2" w:rsidR="009205F9" w:rsidRPr="00734799" w:rsidRDefault="009205F9">
            <w:pPr>
              <w:spacing w:after="0" w:line="240" w:lineRule="auto"/>
              <w:jc w:val="center"/>
              <w:rPr>
                <w:rFonts w:eastAsia="Times New Roman" w:cstheme="minorHAnsi"/>
                <w:b/>
                <w:bCs/>
                <w:color w:val="FFFFFF"/>
                <w:sz w:val="22"/>
                <w:szCs w:val="22"/>
                <w:lang w:eastAsia="en-US"/>
              </w:rPr>
            </w:pPr>
            <w:r w:rsidRPr="00734799">
              <w:rPr>
                <w:rFonts w:eastAsia="Times New Roman" w:cstheme="minorHAnsi"/>
                <w:b/>
                <w:bCs/>
                <w:color w:val="FFFFFF"/>
                <w:sz w:val="22"/>
                <w:szCs w:val="22"/>
                <w:lang w:eastAsia="en-US"/>
              </w:rPr>
              <w:t>Coastal-</w:t>
            </w:r>
            <w:r>
              <w:rPr>
                <w:rFonts w:eastAsia="Times New Roman" w:cstheme="minorHAnsi"/>
                <w:b/>
                <w:bCs/>
                <w:color w:val="FFFFFF"/>
                <w:sz w:val="22"/>
                <w:szCs w:val="22"/>
                <w:lang w:eastAsia="en-US"/>
              </w:rPr>
              <w:t>Moderate</w:t>
            </w:r>
          </w:p>
        </w:tc>
        <w:tc>
          <w:tcPr>
            <w:tcW w:w="1427" w:type="dxa"/>
            <w:tcBorders>
              <w:top w:val="nil"/>
              <w:left w:val="nil"/>
              <w:bottom w:val="single" w:sz="4" w:space="0" w:color="auto"/>
              <w:right w:val="single" w:sz="4" w:space="0" w:color="auto"/>
            </w:tcBorders>
            <w:shd w:val="clear" w:color="auto" w:fill="6FAD45" w:themeFill="accent1"/>
            <w:noWrap/>
            <w:vAlign w:val="center"/>
            <w:hideMark/>
          </w:tcPr>
          <w:p w14:paraId="3DF9E52B" w14:textId="698C028B" w:rsidR="009205F9" w:rsidRPr="00734799" w:rsidRDefault="009205F9">
            <w:pPr>
              <w:spacing w:after="0" w:line="240" w:lineRule="auto"/>
              <w:jc w:val="center"/>
              <w:rPr>
                <w:rFonts w:eastAsia="Times New Roman" w:cstheme="minorHAnsi"/>
                <w:b/>
                <w:bCs/>
                <w:color w:val="FFFFFF"/>
                <w:sz w:val="22"/>
                <w:szCs w:val="22"/>
                <w:lang w:eastAsia="en-US"/>
              </w:rPr>
            </w:pPr>
            <w:r w:rsidRPr="00734799">
              <w:rPr>
                <w:rFonts w:eastAsia="Times New Roman" w:cstheme="minorHAnsi"/>
                <w:b/>
                <w:bCs/>
                <w:color w:val="FFFFFF"/>
                <w:sz w:val="22"/>
                <w:szCs w:val="22"/>
                <w:lang w:eastAsia="en-US"/>
              </w:rPr>
              <w:t>Inland-</w:t>
            </w:r>
            <w:r>
              <w:rPr>
                <w:rFonts w:eastAsia="Times New Roman" w:cstheme="minorHAnsi"/>
                <w:b/>
                <w:bCs/>
                <w:color w:val="FFFFFF"/>
                <w:sz w:val="22"/>
                <w:szCs w:val="22"/>
                <w:lang w:eastAsia="en-US"/>
              </w:rPr>
              <w:t>High</w:t>
            </w:r>
          </w:p>
        </w:tc>
        <w:tc>
          <w:tcPr>
            <w:tcW w:w="1428" w:type="dxa"/>
            <w:tcBorders>
              <w:top w:val="nil"/>
              <w:left w:val="nil"/>
              <w:bottom w:val="single" w:sz="4" w:space="0" w:color="auto"/>
              <w:right w:val="single" w:sz="4" w:space="0" w:color="auto"/>
            </w:tcBorders>
            <w:shd w:val="clear" w:color="auto" w:fill="6FAD45" w:themeFill="accent1"/>
            <w:noWrap/>
            <w:vAlign w:val="center"/>
            <w:hideMark/>
          </w:tcPr>
          <w:p w14:paraId="36D965C2" w14:textId="4D762C86" w:rsidR="009205F9" w:rsidRPr="00734799" w:rsidRDefault="009205F9">
            <w:pPr>
              <w:spacing w:after="0" w:line="240" w:lineRule="auto"/>
              <w:jc w:val="center"/>
              <w:rPr>
                <w:rFonts w:eastAsia="Times New Roman" w:cstheme="minorHAnsi"/>
                <w:b/>
                <w:bCs/>
                <w:color w:val="FFFFFF"/>
                <w:sz w:val="22"/>
                <w:szCs w:val="22"/>
                <w:lang w:eastAsia="en-US"/>
              </w:rPr>
            </w:pPr>
            <w:r w:rsidRPr="00734799">
              <w:rPr>
                <w:rFonts w:eastAsia="Times New Roman" w:cstheme="minorHAnsi"/>
                <w:b/>
                <w:bCs/>
                <w:color w:val="FFFFFF"/>
                <w:sz w:val="22"/>
                <w:szCs w:val="22"/>
                <w:lang w:eastAsia="en-US"/>
              </w:rPr>
              <w:t>Inland-</w:t>
            </w:r>
            <w:r>
              <w:rPr>
                <w:rFonts w:eastAsia="Times New Roman" w:cstheme="minorHAnsi"/>
                <w:b/>
                <w:bCs/>
                <w:color w:val="FFFFFF"/>
                <w:sz w:val="22"/>
                <w:szCs w:val="22"/>
                <w:lang w:eastAsia="en-US"/>
              </w:rPr>
              <w:t>Moderate</w:t>
            </w:r>
          </w:p>
        </w:tc>
        <w:tc>
          <w:tcPr>
            <w:tcW w:w="1432" w:type="dxa"/>
            <w:tcBorders>
              <w:top w:val="nil"/>
              <w:left w:val="nil"/>
              <w:bottom w:val="single" w:sz="4" w:space="0" w:color="auto"/>
              <w:right w:val="single" w:sz="4" w:space="0" w:color="auto"/>
            </w:tcBorders>
            <w:shd w:val="clear" w:color="auto" w:fill="6FAD45" w:themeFill="accent1"/>
            <w:noWrap/>
            <w:vAlign w:val="center"/>
            <w:hideMark/>
          </w:tcPr>
          <w:p w14:paraId="4D2193B9" w14:textId="6BB0C0D9" w:rsidR="009205F9" w:rsidRPr="00734799" w:rsidRDefault="009205F9">
            <w:pPr>
              <w:spacing w:after="0" w:line="240" w:lineRule="auto"/>
              <w:jc w:val="center"/>
              <w:rPr>
                <w:rFonts w:eastAsia="Times New Roman" w:cstheme="minorHAnsi"/>
                <w:b/>
                <w:bCs/>
                <w:color w:val="FFFFFF"/>
                <w:sz w:val="22"/>
                <w:szCs w:val="22"/>
                <w:lang w:eastAsia="en-US"/>
              </w:rPr>
            </w:pPr>
            <w:r w:rsidRPr="00734799">
              <w:rPr>
                <w:rFonts w:eastAsia="Times New Roman" w:cstheme="minorHAnsi"/>
                <w:b/>
                <w:bCs/>
                <w:color w:val="FFFFFF"/>
                <w:sz w:val="22"/>
                <w:szCs w:val="22"/>
                <w:lang w:eastAsia="en-US"/>
              </w:rPr>
              <w:t>Inland-</w:t>
            </w:r>
            <w:r>
              <w:rPr>
                <w:rFonts w:eastAsia="Times New Roman" w:cstheme="minorHAnsi"/>
                <w:b/>
                <w:bCs/>
                <w:color w:val="FFFFFF"/>
                <w:sz w:val="22"/>
                <w:szCs w:val="22"/>
                <w:lang w:eastAsia="en-US"/>
              </w:rPr>
              <w:t>Low</w:t>
            </w:r>
          </w:p>
        </w:tc>
      </w:tr>
      <w:tr w:rsidR="009205F9" w:rsidRPr="006D424D" w14:paraId="27450060" w14:textId="77777777" w:rsidTr="00162924">
        <w:trPr>
          <w:trHeight w:val="374"/>
        </w:trPr>
        <w:tc>
          <w:tcPr>
            <w:tcW w:w="1885" w:type="dxa"/>
            <w:tcBorders>
              <w:top w:val="nil"/>
              <w:left w:val="single" w:sz="4" w:space="0" w:color="auto"/>
              <w:bottom w:val="single" w:sz="4" w:space="0" w:color="auto"/>
              <w:right w:val="single" w:sz="4" w:space="0" w:color="auto"/>
            </w:tcBorders>
            <w:vAlign w:val="center"/>
            <w:hideMark/>
          </w:tcPr>
          <w:p w14:paraId="0797EC78" w14:textId="77777777" w:rsidR="009205F9" w:rsidRPr="00734799" w:rsidRDefault="009205F9">
            <w:pPr>
              <w:spacing w:after="0" w:line="240" w:lineRule="auto"/>
              <w:rPr>
                <w:rFonts w:eastAsia="Times New Roman" w:cstheme="minorHAnsi"/>
                <w:color w:val="000000"/>
                <w:lang w:eastAsia="en-US"/>
              </w:rPr>
            </w:pPr>
            <w:r w:rsidRPr="00734799">
              <w:rPr>
                <w:rFonts w:eastAsia="Times New Roman" w:cstheme="minorHAnsi"/>
                <w:color w:val="000000"/>
                <w:lang w:eastAsia="en-US"/>
              </w:rPr>
              <w:t>Norwalk</w:t>
            </w:r>
          </w:p>
        </w:tc>
        <w:tc>
          <w:tcPr>
            <w:tcW w:w="1751" w:type="dxa"/>
            <w:tcBorders>
              <w:top w:val="nil"/>
              <w:left w:val="nil"/>
              <w:bottom w:val="single" w:sz="4" w:space="0" w:color="auto"/>
              <w:right w:val="single" w:sz="4" w:space="0" w:color="auto"/>
            </w:tcBorders>
            <w:noWrap/>
            <w:vAlign w:val="center"/>
            <w:hideMark/>
          </w:tcPr>
          <w:p w14:paraId="6A577C3A" w14:textId="31638BB5" w:rsidR="009205F9" w:rsidRPr="007B4302" w:rsidRDefault="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28" w:type="dxa"/>
            <w:tcBorders>
              <w:top w:val="nil"/>
              <w:left w:val="nil"/>
              <w:bottom w:val="single" w:sz="4" w:space="0" w:color="auto"/>
              <w:right w:val="single" w:sz="4" w:space="0" w:color="auto"/>
            </w:tcBorders>
            <w:noWrap/>
            <w:vAlign w:val="center"/>
            <w:hideMark/>
          </w:tcPr>
          <w:p w14:paraId="3945A599" w14:textId="77777777" w:rsidR="009205F9" w:rsidRPr="007B4302" w:rsidRDefault="009205F9">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noWrap/>
            <w:vAlign w:val="center"/>
            <w:hideMark/>
          </w:tcPr>
          <w:p w14:paraId="40A22163" w14:textId="77777777" w:rsidR="009205F9" w:rsidRPr="007B4302" w:rsidRDefault="009205F9">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hideMark/>
          </w:tcPr>
          <w:p w14:paraId="26E79DE5" w14:textId="77777777" w:rsidR="009205F9" w:rsidRPr="007B4302" w:rsidRDefault="009205F9">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noWrap/>
            <w:vAlign w:val="center"/>
            <w:hideMark/>
          </w:tcPr>
          <w:p w14:paraId="1EA1263F" w14:textId="77777777" w:rsidR="009205F9" w:rsidRPr="007B4302" w:rsidRDefault="009205F9">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12F58F8E"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1D2C3347"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Stamford</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tcPr>
          <w:p w14:paraId="43B7DA73" w14:textId="3A0454EE"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7F443555"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tcPr>
          <w:p w14:paraId="151580C2"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74F96006"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tcPr>
          <w:p w14:paraId="1DE5C64F"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2C1A644C" w14:textId="77777777" w:rsidTr="00162924">
        <w:trPr>
          <w:trHeight w:val="374"/>
        </w:trPr>
        <w:tc>
          <w:tcPr>
            <w:tcW w:w="1885" w:type="dxa"/>
            <w:tcBorders>
              <w:top w:val="nil"/>
              <w:left w:val="single" w:sz="4" w:space="0" w:color="auto"/>
              <w:bottom w:val="single" w:sz="4" w:space="0" w:color="auto"/>
              <w:right w:val="single" w:sz="4" w:space="0" w:color="auto"/>
            </w:tcBorders>
            <w:vAlign w:val="center"/>
          </w:tcPr>
          <w:p w14:paraId="7190FFAB"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Darien</w:t>
            </w:r>
          </w:p>
        </w:tc>
        <w:tc>
          <w:tcPr>
            <w:tcW w:w="1751" w:type="dxa"/>
            <w:tcBorders>
              <w:top w:val="nil"/>
              <w:left w:val="nil"/>
              <w:bottom w:val="single" w:sz="4" w:space="0" w:color="auto"/>
              <w:right w:val="single" w:sz="4" w:space="0" w:color="auto"/>
            </w:tcBorders>
            <w:noWrap/>
            <w:vAlign w:val="center"/>
          </w:tcPr>
          <w:p w14:paraId="62AD2F17"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28F47BD2" w14:textId="2084EB90"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27" w:type="dxa"/>
            <w:tcBorders>
              <w:top w:val="nil"/>
              <w:left w:val="nil"/>
              <w:bottom w:val="single" w:sz="4" w:space="0" w:color="auto"/>
              <w:right w:val="single" w:sz="4" w:space="0" w:color="auto"/>
            </w:tcBorders>
            <w:noWrap/>
            <w:vAlign w:val="center"/>
          </w:tcPr>
          <w:p w14:paraId="755B375D"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4767D509"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noWrap/>
            <w:vAlign w:val="center"/>
          </w:tcPr>
          <w:p w14:paraId="7564839F"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19E1517F"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0B868311"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Greenwich</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tcPr>
          <w:p w14:paraId="425ED348"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4ADC3C29" w14:textId="4CC45E7A"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tcPr>
          <w:p w14:paraId="64F4CBBC"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1E38E283"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tcPr>
          <w:p w14:paraId="07566EB2"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05DAEC96" w14:textId="77777777" w:rsidTr="00162924">
        <w:trPr>
          <w:trHeight w:val="374"/>
        </w:trPr>
        <w:tc>
          <w:tcPr>
            <w:tcW w:w="1885" w:type="dxa"/>
            <w:tcBorders>
              <w:top w:val="nil"/>
              <w:left w:val="single" w:sz="4" w:space="0" w:color="auto"/>
              <w:bottom w:val="single" w:sz="4" w:space="0" w:color="auto"/>
              <w:right w:val="single" w:sz="4" w:space="0" w:color="auto"/>
            </w:tcBorders>
            <w:vAlign w:val="center"/>
          </w:tcPr>
          <w:p w14:paraId="74003CC4"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Westport</w:t>
            </w:r>
          </w:p>
        </w:tc>
        <w:tc>
          <w:tcPr>
            <w:tcW w:w="1751" w:type="dxa"/>
            <w:tcBorders>
              <w:top w:val="nil"/>
              <w:left w:val="nil"/>
              <w:bottom w:val="single" w:sz="4" w:space="0" w:color="auto"/>
              <w:right w:val="single" w:sz="4" w:space="0" w:color="auto"/>
            </w:tcBorders>
            <w:noWrap/>
            <w:vAlign w:val="center"/>
          </w:tcPr>
          <w:p w14:paraId="48281DEB"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46109DCE" w14:textId="4C9B8FA3"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27" w:type="dxa"/>
            <w:tcBorders>
              <w:top w:val="nil"/>
              <w:left w:val="nil"/>
              <w:bottom w:val="single" w:sz="4" w:space="0" w:color="auto"/>
              <w:right w:val="single" w:sz="4" w:space="0" w:color="auto"/>
            </w:tcBorders>
            <w:noWrap/>
            <w:vAlign w:val="center"/>
          </w:tcPr>
          <w:p w14:paraId="64355A06"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6DCB7863"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noWrap/>
            <w:vAlign w:val="center"/>
          </w:tcPr>
          <w:p w14:paraId="31D6507F"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64B14135"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3AB2DECE"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Danbury</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tcPr>
          <w:p w14:paraId="7B1A5408"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3C16B6E2"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tcPr>
          <w:p w14:paraId="27EAC030" w14:textId="54F31522"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73DBBE89"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tcPr>
          <w:p w14:paraId="50298A73"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3DD40F30" w14:textId="77777777" w:rsidTr="00162924">
        <w:trPr>
          <w:trHeight w:val="374"/>
        </w:trPr>
        <w:tc>
          <w:tcPr>
            <w:tcW w:w="1885" w:type="dxa"/>
            <w:tcBorders>
              <w:top w:val="nil"/>
              <w:left w:val="single" w:sz="4" w:space="0" w:color="auto"/>
              <w:bottom w:val="single" w:sz="4" w:space="0" w:color="auto"/>
              <w:right w:val="single" w:sz="4" w:space="0" w:color="auto"/>
            </w:tcBorders>
            <w:vAlign w:val="center"/>
          </w:tcPr>
          <w:p w14:paraId="7F1F6983"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Bethel</w:t>
            </w:r>
          </w:p>
        </w:tc>
        <w:tc>
          <w:tcPr>
            <w:tcW w:w="1751" w:type="dxa"/>
            <w:tcBorders>
              <w:top w:val="nil"/>
              <w:left w:val="nil"/>
              <w:bottom w:val="single" w:sz="4" w:space="0" w:color="auto"/>
              <w:right w:val="single" w:sz="4" w:space="0" w:color="auto"/>
            </w:tcBorders>
            <w:noWrap/>
            <w:vAlign w:val="center"/>
          </w:tcPr>
          <w:p w14:paraId="731FCFEE"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2678DBB8"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noWrap/>
            <w:vAlign w:val="center"/>
          </w:tcPr>
          <w:p w14:paraId="47133810"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475AA48A" w14:textId="44F09A99"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noWrap/>
            <w:vAlign w:val="center"/>
          </w:tcPr>
          <w:p w14:paraId="7B671D18"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148BC696"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0B578CD1"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Brookfield</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tcPr>
          <w:p w14:paraId="38C1E260"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01165C6A"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tcPr>
          <w:p w14:paraId="30D42D40"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56D8C00C" w14:textId="20D0B9A6"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tcPr>
          <w:p w14:paraId="544C775B"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2D296C73" w14:textId="77777777" w:rsidTr="00162924">
        <w:trPr>
          <w:trHeight w:val="374"/>
        </w:trPr>
        <w:tc>
          <w:tcPr>
            <w:tcW w:w="1885" w:type="dxa"/>
            <w:tcBorders>
              <w:top w:val="nil"/>
              <w:left w:val="single" w:sz="4" w:space="0" w:color="auto"/>
              <w:bottom w:val="single" w:sz="4" w:space="0" w:color="auto"/>
              <w:right w:val="single" w:sz="4" w:space="0" w:color="auto"/>
            </w:tcBorders>
            <w:vAlign w:val="center"/>
          </w:tcPr>
          <w:p w14:paraId="514E2AE1"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New Canaan</w:t>
            </w:r>
          </w:p>
        </w:tc>
        <w:tc>
          <w:tcPr>
            <w:tcW w:w="1751" w:type="dxa"/>
            <w:tcBorders>
              <w:top w:val="nil"/>
              <w:left w:val="nil"/>
              <w:bottom w:val="single" w:sz="4" w:space="0" w:color="auto"/>
              <w:right w:val="single" w:sz="4" w:space="0" w:color="auto"/>
            </w:tcBorders>
            <w:noWrap/>
            <w:vAlign w:val="center"/>
          </w:tcPr>
          <w:p w14:paraId="3ECFD108"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4592EAD6"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noWrap/>
            <w:vAlign w:val="center"/>
          </w:tcPr>
          <w:p w14:paraId="50615699"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4143FBFB" w14:textId="11BEEC6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noWrap/>
            <w:vAlign w:val="center"/>
          </w:tcPr>
          <w:p w14:paraId="6826A233"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5389395C"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29323D2A"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New Fairfield</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tcPr>
          <w:p w14:paraId="07612F61"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36635BC7"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tcPr>
          <w:p w14:paraId="4279D6F4"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573832D2" w14:textId="190403F4"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tcPr>
          <w:p w14:paraId="22027683"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08CEA123" w14:textId="77777777" w:rsidTr="00162924">
        <w:trPr>
          <w:trHeight w:val="374"/>
        </w:trPr>
        <w:tc>
          <w:tcPr>
            <w:tcW w:w="1885" w:type="dxa"/>
            <w:tcBorders>
              <w:top w:val="nil"/>
              <w:left w:val="single" w:sz="4" w:space="0" w:color="auto"/>
              <w:bottom w:val="single" w:sz="4" w:space="0" w:color="auto"/>
              <w:right w:val="single" w:sz="4" w:space="0" w:color="auto"/>
            </w:tcBorders>
            <w:vAlign w:val="center"/>
          </w:tcPr>
          <w:p w14:paraId="526A59FC"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New Milford</w:t>
            </w:r>
          </w:p>
        </w:tc>
        <w:tc>
          <w:tcPr>
            <w:tcW w:w="1751" w:type="dxa"/>
            <w:tcBorders>
              <w:top w:val="nil"/>
              <w:left w:val="nil"/>
              <w:bottom w:val="single" w:sz="4" w:space="0" w:color="auto"/>
              <w:right w:val="single" w:sz="4" w:space="0" w:color="auto"/>
            </w:tcBorders>
            <w:noWrap/>
            <w:vAlign w:val="center"/>
          </w:tcPr>
          <w:p w14:paraId="550AF109"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1FCDD3F8"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noWrap/>
            <w:vAlign w:val="center"/>
          </w:tcPr>
          <w:p w14:paraId="3CFCABE2"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445AE1E1" w14:textId="6450CCC5"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noWrap/>
            <w:vAlign w:val="center"/>
          </w:tcPr>
          <w:p w14:paraId="6D985A57"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3D292C51"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7A0873FC"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Newtown</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tcPr>
          <w:p w14:paraId="31567432"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5CB4807F"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tcPr>
          <w:p w14:paraId="41567819"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2D4A3BCA" w14:textId="642DD95A"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tcPr>
          <w:p w14:paraId="13E46CA8"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p>
        </w:tc>
      </w:tr>
      <w:tr w:rsidR="00803FE8" w:rsidRPr="006D424D" w14:paraId="574F69EE" w14:textId="77777777" w:rsidTr="00162924">
        <w:trPr>
          <w:trHeight w:val="374"/>
        </w:trPr>
        <w:tc>
          <w:tcPr>
            <w:tcW w:w="1885" w:type="dxa"/>
            <w:tcBorders>
              <w:top w:val="nil"/>
              <w:left w:val="single" w:sz="4" w:space="0" w:color="auto"/>
              <w:bottom w:val="single" w:sz="4" w:space="0" w:color="auto"/>
              <w:right w:val="single" w:sz="4" w:space="0" w:color="auto"/>
            </w:tcBorders>
            <w:vAlign w:val="center"/>
          </w:tcPr>
          <w:p w14:paraId="6F95FD9C"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Ridgefield</w:t>
            </w:r>
          </w:p>
        </w:tc>
        <w:tc>
          <w:tcPr>
            <w:tcW w:w="1751" w:type="dxa"/>
            <w:tcBorders>
              <w:top w:val="nil"/>
              <w:left w:val="nil"/>
              <w:bottom w:val="single" w:sz="4" w:space="0" w:color="auto"/>
              <w:right w:val="single" w:sz="4" w:space="0" w:color="auto"/>
            </w:tcBorders>
            <w:noWrap/>
            <w:vAlign w:val="center"/>
          </w:tcPr>
          <w:p w14:paraId="682F2FDF"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754C74EC"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noWrap/>
            <w:vAlign w:val="center"/>
          </w:tcPr>
          <w:p w14:paraId="3BFFF6C4"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65AA9145" w14:textId="495F6241"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noWrap/>
            <w:vAlign w:val="center"/>
          </w:tcPr>
          <w:p w14:paraId="5B93FCA0"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2C5753C4"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1C9FA734"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Weston</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tcPr>
          <w:p w14:paraId="33DE4444"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70EDBE64"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tcPr>
          <w:p w14:paraId="0A53F33C"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tcPr>
          <w:p w14:paraId="51A6EBFC" w14:textId="71DB623B"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tcPr>
          <w:p w14:paraId="0BB7FC51"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3BB63B47" w14:textId="77777777" w:rsidTr="00162924">
        <w:trPr>
          <w:trHeight w:val="374"/>
        </w:trPr>
        <w:tc>
          <w:tcPr>
            <w:tcW w:w="1885" w:type="dxa"/>
            <w:tcBorders>
              <w:top w:val="nil"/>
              <w:left w:val="single" w:sz="4" w:space="0" w:color="auto"/>
              <w:bottom w:val="single" w:sz="4" w:space="0" w:color="auto"/>
              <w:right w:val="single" w:sz="4" w:space="0" w:color="auto"/>
            </w:tcBorders>
            <w:vAlign w:val="center"/>
          </w:tcPr>
          <w:p w14:paraId="2D3563B7"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Wilton</w:t>
            </w:r>
          </w:p>
        </w:tc>
        <w:tc>
          <w:tcPr>
            <w:tcW w:w="1751" w:type="dxa"/>
            <w:tcBorders>
              <w:top w:val="nil"/>
              <w:left w:val="nil"/>
              <w:bottom w:val="single" w:sz="4" w:space="0" w:color="auto"/>
              <w:right w:val="single" w:sz="4" w:space="0" w:color="auto"/>
            </w:tcBorders>
            <w:noWrap/>
            <w:vAlign w:val="center"/>
          </w:tcPr>
          <w:p w14:paraId="743F3154"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37545927"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noWrap/>
            <w:vAlign w:val="center"/>
          </w:tcPr>
          <w:p w14:paraId="563B1D80"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tcPr>
          <w:p w14:paraId="34E79563" w14:textId="1BFD7DCD"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c>
          <w:tcPr>
            <w:tcW w:w="1432" w:type="dxa"/>
            <w:tcBorders>
              <w:top w:val="nil"/>
              <w:left w:val="nil"/>
              <w:bottom w:val="single" w:sz="4" w:space="0" w:color="auto"/>
              <w:right w:val="single" w:sz="4" w:space="0" w:color="auto"/>
            </w:tcBorders>
            <w:noWrap/>
            <w:vAlign w:val="center"/>
          </w:tcPr>
          <w:p w14:paraId="335AC14B"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r>
      <w:tr w:rsidR="00803FE8" w:rsidRPr="006D424D" w14:paraId="201042DB"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590CF53F"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Bridgewater</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hideMark/>
          </w:tcPr>
          <w:p w14:paraId="612965A6"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hideMark/>
          </w:tcPr>
          <w:p w14:paraId="0C2D8380"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hideMark/>
          </w:tcPr>
          <w:p w14:paraId="16976C65"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hideMark/>
          </w:tcPr>
          <w:p w14:paraId="4A260D39"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hideMark/>
          </w:tcPr>
          <w:p w14:paraId="30D615D4" w14:textId="6F0472F2"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r>
      <w:tr w:rsidR="00803FE8" w:rsidRPr="006D424D" w14:paraId="54CA9D11" w14:textId="77777777" w:rsidTr="00162924">
        <w:trPr>
          <w:trHeight w:val="374"/>
        </w:trPr>
        <w:tc>
          <w:tcPr>
            <w:tcW w:w="1885" w:type="dxa"/>
            <w:tcBorders>
              <w:top w:val="nil"/>
              <w:left w:val="single" w:sz="4" w:space="0" w:color="auto"/>
              <w:bottom w:val="single" w:sz="4" w:space="0" w:color="auto"/>
              <w:right w:val="single" w:sz="4" w:space="0" w:color="auto"/>
            </w:tcBorders>
            <w:vAlign w:val="center"/>
            <w:hideMark/>
          </w:tcPr>
          <w:p w14:paraId="2AE1810F"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Redding</w:t>
            </w:r>
          </w:p>
        </w:tc>
        <w:tc>
          <w:tcPr>
            <w:tcW w:w="1751" w:type="dxa"/>
            <w:tcBorders>
              <w:top w:val="nil"/>
              <w:left w:val="nil"/>
              <w:bottom w:val="single" w:sz="4" w:space="0" w:color="auto"/>
              <w:right w:val="single" w:sz="4" w:space="0" w:color="auto"/>
            </w:tcBorders>
            <w:noWrap/>
            <w:vAlign w:val="center"/>
            <w:hideMark/>
          </w:tcPr>
          <w:p w14:paraId="2820EA74"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hideMark/>
          </w:tcPr>
          <w:p w14:paraId="11CF1AFE"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noWrap/>
            <w:vAlign w:val="center"/>
            <w:hideMark/>
          </w:tcPr>
          <w:p w14:paraId="4D205B02"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noWrap/>
            <w:vAlign w:val="center"/>
            <w:hideMark/>
          </w:tcPr>
          <w:p w14:paraId="6D503ACF"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noWrap/>
            <w:vAlign w:val="center"/>
            <w:hideMark/>
          </w:tcPr>
          <w:p w14:paraId="39ED044C" w14:textId="485E189F"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r>
      <w:tr w:rsidR="00803FE8" w:rsidRPr="006D424D" w14:paraId="4AEA7FA5" w14:textId="77777777" w:rsidTr="00162924">
        <w:trPr>
          <w:trHeight w:val="374"/>
        </w:trPr>
        <w:tc>
          <w:tcPr>
            <w:tcW w:w="1885"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7BF87D9F" w14:textId="77777777" w:rsidR="00803FE8" w:rsidRPr="00734799" w:rsidRDefault="00803FE8" w:rsidP="00803FE8">
            <w:pPr>
              <w:spacing w:after="0" w:line="240" w:lineRule="auto"/>
              <w:rPr>
                <w:rFonts w:eastAsia="Times New Roman" w:cstheme="minorHAnsi"/>
                <w:color w:val="000000"/>
                <w:lang w:eastAsia="en-US"/>
              </w:rPr>
            </w:pPr>
            <w:r w:rsidRPr="00734799">
              <w:rPr>
                <w:rFonts w:eastAsia="Times New Roman" w:cstheme="minorHAnsi"/>
                <w:color w:val="000000"/>
                <w:lang w:eastAsia="en-US"/>
              </w:rPr>
              <w:t>Sherman</w:t>
            </w:r>
          </w:p>
        </w:tc>
        <w:tc>
          <w:tcPr>
            <w:tcW w:w="1751" w:type="dxa"/>
            <w:tcBorders>
              <w:top w:val="nil"/>
              <w:left w:val="nil"/>
              <w:bottom w:val="single" w:sz="4" w:space="0" w:color="auto"/>
              <w:right w:val="single" w:sz="4" w:space="0" w:color="auto"/>
            </w:tcBorders>
            <w:shd w:val="clear" w:color="auto" w:fill="F2F2F2" w:themeFill="background1" w:themeFillShade="F2"/>
            <w:noWrap/>
            <w:vAlign w:val="center"/>
            <w:hideMark/>
          </w:tcPr>
          <w:p w14:paraId="06F844E9"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hideMark/>
          </w:tcPr>
          <w:p w14:paraId="7D7853C4"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hideMark/>
          </w:tcPr>
          <w:p w14:paraId="081C03D0"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28" w:type="dxa"/>
            <w:tcBorders>
              <w:top w:val="nil"/>
              <w:left w:val="nil"/>
              <w:bottom w:val="single" w:sz="4" w:space="0" w:color="auto"/>
              <w:right w:val="single" w:sz="4" w:space="0" w:color="auto"/>
            </w:tcBorders>
            <w:shd w:val="clear" w:color="auto" w:fill="F2F2F2" w:themeFill="background1" w:themeFillShade="F2"/>
            <w:noWrap/>
            <w:vAlign w:val="center"/>
            <w:hideMark/>
          </w:tcPr>
          <w:p w14:paraId="35CAF2AB" w14:textId="77777777"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 </w:t>
            </w:r>
          </w:p>
        </w:tc>
        <w:tc>
          <w:tcPr>
            <w:tcW w:w="1432" w:type="dxa"/>
            <w:tcBorders>
              <w:top w:val="nil"/>
              <w:left w:val="nil"/>
              <w:bottom w:val="single" w:sz="4" w:space="0" w:color="auto"/>
              <w:right w:val="single" w:sz="4" w:space="0" w:color="auto"/>
            </w:tcBorders>
            <w:shd w:val="clear" w:color="auto" w:fill="F2F2F2" w:themeFill="background1" w:themeFillShade="F2"/>
            <w:noWrap/>
            <w:vAlign w:val="center"/>
            <w:hideMark/>
          </w:tcPr>
          <w:p w14:paraId="45CC5520" w14:textId="1836D3B8" w:rsidR="00803FE8" w:rsidRPr="007B4302" w:rsidRDefault="00803FE8" w:rsidP="00803FE8">
            <w:pPr>
              <w:spacing w:after="0" w:line="240" w:lineRule="auto"/>
              <w:jc w:val="center"/>
              <w:rPr>
                <w:rFonts w:eastAsia="Times New Roman" w:cstheme="minorHAnsi"/>
                <w:color w:val="332F2E" w:themeColor="accent4"/>
                <w:sz w:val="22"/>
                <w:szCs w:val="22"/>
                <w:lang w:eastAsia="en-US"/>
              </w:rPr>
            </w:pPr>
            <w:r w:rsidRPr="007B4302">
              <w:rPr>
                <w:rFonts w:eastAsia="Times New Roman" w:cstheme="minorHAnsi"/>
                <w:color w:val="332F2E" w:themeColor="accent4"/>
                <w:sz w:val="22"/>
                <w:szCs w:val="22"/>
                <w:lang w:eastAsia="en-US"/>
              </w:rPr>
              <w:t>●</w:t>
            </w:r>
          </w:p>
        </w:tc>
      </w:tr>
    </w:tbl>
    <w:p w14:paraId="2B16CF1F" w14:textId="77777777" w:rsidR="00862FDD" w:rsidRDefault="00862FDD" w:rsidP="004D42B8">
      <w:pPr>
        <w:pStyle w:val="Heading1"/>
        <w:rPr>
          <w:rFonts w:hint="eastAsia"/>
        </w:rPr>
      </w:pPr>
    </w:p>
    <w:p w14:paraId="20F0FB72" w14:textId="77777777" w:rsidR="00862FDD" w:rsidRDefault="00862FDD">
      <w:pPr>
        <w:spacing w:line="259" w:lineRule="auto"/>
        <w:rPr>
          <w:rFonts w:asciiTheme="majorHAnsi" w:eastAsiaTheme="majorEastAsia" w:hAnsiTheme="majorHAnsi" w:cstheme="majorBidi" w:hint="eastAsia"/>
          <w:b/>
          <w:color w:val="4970B7" w:themeColor="accent3"/>
          <w:sz w:val="48"/>
          <w:szCs w:val="32"/>
        </w:rPr>
      </w:pPr>
      <w:r>
        <w:br w:type="page"/>
      </w:r>
    </w:p>
    <w:p w14:paraId="4F55FEDB" w14:textId="2514904F" w:rsidR="004D42B8" w:rsidRPr="00511A36" w:rsidRDefault="004D42B8" w:rsidP="004D42B8">
      <w:pPr>
        <w:pStyle w:val="Heading1"/>
        <w:rPr>
          <w:rFonts w:hint="eastAsia"/>
        </w:rPr>
      </w:pPr>
      <w:bookmarkStart w:id="8" w:name="_Toc233228199"/>
      <w:r w:rsidRPr="00511A36">
        <w:t>Hazard Analysis</w:t>
      </w:r>
      <w:r w:rsidR="002F2B65" w:rsidRPr="002508EE">
        <w:t xml:space="preserve"> Overview</w:t>
      </w:r>
      <w:bookmarkEnd w:id="8"/>
    </w:p>
    <w:p w14:paraId="311EF66B" w14:textId="74A94FBC" w:rsidR="004D42B8" w:rsidRPr="00511A36" w:rsidRDefault="004D42B8" w:rsidP="004D42B8">
      <w:pPr>
        <w:rPr>
          <w:rFonts w:hint="eastAsia"/>
        </w:rPr>
      </w:pPr>
      <w:r w:rsidRPr="00511A36">
        <w:t>The hazards analyzed in this assessment</w:t>
      </w:r>
      <w:r w:rsidR="00527093">
        <w:t xml:space="preserve"> </w:t>
      </w:r>
      <w:r w:rsidRPr="002508EE">
        <w:t xml:space="preserve">and </w:t>
      </w:r>
      <w:r w:rsidR="00527093">
        <w:t>associated</w:t>
      </w:r>
      <w:r w:rsidRPr="00511A36">
        <w:t xml:space="preserve"> data sources are summarized below in </w:t>
      </w:r>
      <w:r w:rsidRPr="00843358">
        <w:fldChar w:fldCharType="begin" w:fldLock="1"/>
      </w:r>
      <w:r w:rsidRPr="00843358">
        <w:instrText xml:space="preserve"> REF _Ref227253140 \h </w:instrText>
      </w:r>
      <w:r w:rsidR="005E43AE" w:rsidRPr="00843358">
        <w:instrText xml:space="preserve"> \* MERGEFORMAT </w:instrText>
      </w:r>
      <w:r w:rsidRPr="00843358">
        <w:fldChar w:fldCharType="separate"/>
      </w:r>
      <w:r w:rsidR="00AB64CB">
        <w:t xml:space="preserve">Table </w:t>
      </w:r>
      <w:r w:rsidR="00AB64CB">
        <w:rPr>
          <w:noProof/>
        </w:rPr>
        <w:t>3.</w:t>
      </w:r>
      <w:r w:rsidR="00AB64CB">
        <w:t xml:space="preserve"> Summary of hazards, descriptions, and data sources.</w:t>
      </w:r>
      <w:r w:rsidRPr="00843358">
        <w:fldChar w:fldCharType="end"/>
      </w:r>
      <w:r w:rsidRPr="00511A36">
        <w:t xml:space="preserve">. </w:t>
      </w:r>
    </w:p>
    <w:p w14:paraId="0BE03F11" w14:textId="6DEB966B" w:rsidR="004D42B8" w:rsidRPr="00511A36" w:rsidRDefault="003D2CC3" w:rsidP="00734799">
      <w:pPr>
        <w:pStyle w:val="Caption"/>
        <w:keepNext/>
        <w:rPr>
          <w:rFonts w:hint="eastAsia"/>
        </w:rPr>
      </w:pPr>
      <w:bookmarkStart w:id="9" w:name="_Ref228887888"/>
      <w:bookmarkStart w:id="10" w:name="_Ref227253140"/>
      <w:bookmarkStart w:id="11" w:name="_Toc233227496"/>
      <w:r w:rsidRPr="00862FDD">
        <w:rPr>
          <w:b/>
          <w:bCs/>
        </w:rPr>
        <w:t xml:space="preserve">Table </w:t>
      </w:r>
      <w:r w:rsidRPr="00862FDD">
        <w:rPr>
          <w:b/>
          <w:bCs/>
        </w:rPr>
        <w:fldChar w:fldCharType="begin"/>
      </w:r>
      <w:r w:rsidRPr="00862FDD">
        <w:rPr>
          <w:b/>
          <w:bCs/>
        </w:rPr>
        <w:instrText xml:space="preserve"> SEQ Table \* ARABIC </w:instrText>
      </w:r>
      <w:r w:rsidRPr="00862FDD">
        <w:rPr>
          <w:b/>
          <w:bCs/>
        </w:rPr>
        <w:fldChar w:fldCharType="separate"/>
      </w:r>
      <w:r w:rsidR="00AB64CB" w:rsidRPr="00862FDD">
        <w:rPr>
          <w:b/>
          <w:bCs/>
          <w:noProof/>
        </w:rPr>
        <w:t>3</w:t>
      </w:r>
      <w:r w:rsidRPr="00862FDD">
        <w:rPr>
          <w:b/>
          <w:bCs/>
          <w:noProof/>
        </w:rPr>
        <w:fldChar w:fldCharType="end"/>
      </w:r>
      <w:bookmarkEnd w:id="9"/>
      <w:r w:rsidRPr="00862FDD">
        <w:rPr>
          <w:b/>
          <w:bCs/>
        </w:rPr>
        <w:t>.</w:t>
      </w:r>
      <w:r>
        <w:t xml:space="preserve"> Summary of hazards, descriptions, and data sources.</w:t>
      </w:r>
      <w:bookmarkEnd w:id="10"/>
      <w:bookmarkEnd w:id="11"/>
    </w:p>
    <w:tbl>
      <w:tblPr>
        <w:tblStyle w:val="GridTable4-Accent1"/>
        <w:tblW w:w="9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4050"/>
        <w:gridCol w:w="3491"/>
      </w:tblGrid>
      <w:tr w:rsidR="004D42B8" w:rsidRPr="00511A36" w14:paraId="7C5FDB2A" w14:textId="77777777" w:rsidTr="005A61AC">
        <w:trPr>
          <w:cnfStyle w:val="100000000000" w:firstRow="1" w:lastRow="0" w:firstColumn="0" w:lastColumn="0" w:oddVBand="0" w:evenVBand="0" w:oddHBand="0" w:evenHBand="0" w:firstRowFirstColumn="0" w:firstRowLastColumn="0" w:lastRowFirstColumn="0" w:lastRowLastColumn="0"/>
          <w:trHeight w:val="435"/>
          <w:tblHeader/>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34E01AA3" w14:textId="77777777" w:rsidR="004D42B8" w:rsidRPr="00511A36" w:rsidRDefault="004D42B8">
            <w:pPr>
              <w:jc w:val="center"/>
              <w:rPr>
                <w:rFonts w:hint="eastAsia"/>
              </w:rPr>
            </w:pPr>
            <w:r w:rsidRPr="00511A36">
              <w:t>Hazard</w:t>
            </w:r>
          </w:p>
        </w:tc>
        <w:tc>
          <w:tcPr>
            <w:tcW w:w="4050" w:type="dxa"/>
            <w:vAlign w:val="center"/>
          </w:tcPr>
          <w:p w14:paraId="146AA02E" w14:textId="7DB797A5" w:rsidR="004D42B8" w:rsidRPr="00511A36" w:rsidRDefault="00527093">
            <w:pPr>
              <w:jc w:val="center"/>
              <w:cnfStyle w:val="100000000000" w:firstRow="1" w:lastRow="0" w:firstColumn="0" w:lastColumn="0" w:oddVBand="0" w:evenVBand="0" w:oddHBand="0" w:evenHBand="0" w:firstRowFirstColumn="0" w:firstRowLastColumn="0" w:lastRowFirstColumn="0" w:lastRowLastColumn="0"/>
              <w:rPr>
                <w:rFonts w:hint="eastAsia"/>
              </w:rPr>
            </w:pPr>
            <w:r>
              <w:t>Description</w:t>
            </w:r>
          </w:p>
        </w:tc>
        <w:tc>
          <w:tcPr>
            <w:tcW w:w="3491" w:type="dxa"/>
            <w:vAlign w:val="center"/>
          </w:tcPr>
          <w:p w14:paraId="598FCAB1" w14:textId="77777777" w:rsidR="004D42B8" w:rsidRPr="00511A36" w:rsidRDefault="004D42B8">
            <w:pPr>
              <w:jc w:val="center"/>
              <w:cnfStyle w:val="100000000000" w:firstRow="1" w:lastRow="0" w:firstColumn="0" w:lastColumn="0" w:oddVBand="0" w:evenVBand="0" w:oddHBand="0" w:evenHBand="0" w:firstRowFirstColumn="0" w:firstRowLastColumn="0" w:lastRowFirstColumn="0" w:lastRowLastColumn="0"/>
              <w:rPr>
                <w:rFonts w:hint="eastAsia"/>
              </w:rPr>
            </w:pPr>
            <w:r w:rsidRPr="00511A36">
              <w:t>Source for Analysis</w:t>
            </w:r>
          </w:p>
        </w:tc>
      </w:tr>
      <w:tr w:rsidR="004D42B8" w:rsidRPr="00511A36" w14:paraId="0E9F690A" w14:textId="77777777" w:rsidTr="005A61AC">
        <w:trPr>
          <w:cnfStyle w:val="000000100000" w:firstRow="0" w:lastRow="0" w:firstColumn="0" w:lastColumn="0" w:oddVBand="0" w:evenVBand="0" w:oddHBand="1" w:evenHBand="0" w:firstRowFirstColumn="0" w:firstRowLastColumn="0" w:lastRowFirstColumn="0" w:lastRowLastColumn="0"/>
          <w:trHeight w:val="2996"/>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0467C58F" w14:textId="7843125C" w:rsidR="004D42B8" w:rsidRPr="00511A36" w:rsidRDefault="004D42B8" w:rsidP="004D42B8">
            <w:pPr>
              <w:rPr>
                <w:rFonts w:hint="eastAsia"/>
              </w:rPr>
            </w:pPr>
            <w:r w:rsidRPr="00511A36">
              <w:t xml:space="preserve">Extreme </w:t>
            </w:r>
            <w:r w:rsidR="00BE76DB">
              <w:t>Storms</w:t>
            </w:r>
            <w:r w:rsidR="00BE76DB" w:rsidRPr="002508EE">
              <w:t xml:space="preserve"> </w:t>
            </w:r>
          </w:p>
        </w:tc>
        <w:tc>
          <w:tcPr>
            <w:tcW w:w="4050" w:type="dxa"/>
            <w:vAlign w:val="center"/>
          </w:tcPr>
          <w:p w14:paraId="40B0F15A" w14:textId="08E4B919" w:rsidR="004D42B8" w:rsidRPr="00511A36" w:rsidRDefault="00713FA0" w:rsidP="00734799">
            <w:pPr>
              <w:cnfStyle w:val="000000100000" w:firstRow="0" w:lastRow="0" w:firstColumn="0" w:lastColumn="0" w:oddVBand="0" w:evenVBand="0" w:oddHBand="1" w:evenHBand="0" w:firstRowFirstColumn="0" w:firstRowLastColumn="0" w:lastRowFirstColumn="0" w:lastRowLastColumn="0"/>
              <w:rPr>
                <w:rFonts w:hint="eastAsia"/>
              </w:rPr>
            </w:pPr>
            <w:r>
              <w:t>T</w:t>
            </w:r>
            <w:r w:rsidR="00527093">
              <w:t>ropical cyclones</w:t>
            </w:r>
            <w:r w:rsidR="00866D38">
              <w:t xml:space="preserve"> (</w:t>
            </w:r>
            <w:r w:rsidR="00862FDD">
              <w:t>also called tropical storms and hurricanes), mid-latitude cyclones, and severe thunderstorms are characterized by both high frequency and high variability in heavy precipitation and high winds, among other storm-damage</w:t>
            </w:r>
            <w:r w:rsidR="005972CB">
              <w:t xml:space="preserve"> </w:t>
            </w:r>
            <w:r w:rsidR="00527093">
              <w:t>impacts</w:t>
            </w:r>
            <w:r>
              <w:t>.</w:t>
            </w:r>
          </w:p>
        </w:tc>
        <w:tc>
          <w:tcPr>
            <w:tcW w:w="3491" w:type="dxa"/>
            <w:vAlign w:val="center"/>
          </w:tcPr>
          <w:p w14:paraId="5F27D2AD" w14:textId="7777777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r w:rsidRPr="00511A36">
              <w:t>National Oceanic and Atmospheric Administration (NOAA)</w:t>
            </w:r>
          </w:p>
          <w:p w14:paraId="15CA0D8B" w14:textId="7777777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p>
          <w:p w14:paraId="0BD2ABE8" w14:textId="7AF95C6F" w:rsidR="00C70D87"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r w:rsidRPr="00511A36">
              <w:t>Extreme Precipitation in New York &amp; New England</w:t>
            </w:r>
            <w:r w:rsidR="00A6455E">
              <w:t xml:space="preserve"> </w:t>
            </w:r>
            <w:r w:rsidR="00C70D87" w:rsidRPr="00511A36">
              <w:t>N</w:t>
            </w:r>
            <w:r w:rsidR="001E3E40" w:rsidRPr="00511A36">
              <w:t xml:space="preserve">ortheast Regional Climate </w:t>
            </w:r>
            <w:r w:rsidR="007E4CA9">
              <w:t>Center</w:t>
            </w:r>
            <w:r w:rsidR="007E4CA9" w:rsidRPr="002508EE">
              <w:t xml:space="preserve"> </w:t>
            </w:r>
            <w:r w:rsidR="001E3E40" w:rsidRPr="00511A36">
              <w:t>(NRCC)</w:t>
            </w:r>
          </w:p>
          <w:p w14:paraId="6B9037A7" w14:textId="7777777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 </w:t>
            </w:r>
          </w:p>
          <w:p w14:paraId="16B3E686" w14:textId="58569BF5"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r w:rsidRPr="00511A36">
              <w:t>International Best Track Archive for Climate Stewardship (IBTrACS)</w:t>
            </w:r>
          </w:p>
        </w:tc>
      </w:tr>
      <w:tr w:rsidR="00980F4F" w:rsidRPr="00511A36" w14:paraId="5219FD6D" w14:textId="77777777" w:rsidTr="005A61AC">
        <w:trPr>
          <w:trHeight w:val="161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139CDD5D" w14:textId="0803C507" w:rsidR="00980F4F" w:rsidRPr="00511A36" w:rsidRDefault="00980F4F" w:rsidP="00980F4F">
            <w:pPr>
              <w:rPr>
                <w:rFonts w:hint="eastAsia"/>
              </w:rPr>
            </w:pPr>
            <w:r w:rsidRPr="00511A36">
              <w:t>Rainfall (Pluvial</w:t>
            </w:r>
            <w:r w:rsidR="00511A36">
              <w:t>)</w:t>
            </w:r>
            <w:r w:rsidRPr="00511A36">
              <w:t xml:space="preserve"> Flooding</w:t>
            </w:r>
          </w:p>
        </w:tc>
        <w:tc>
          <w:tcPr>
            <w:tcW w:w="4050" w:type="dxa"/>
            <w:vAlign w:val="center"/>
          </w:tcPr>
          <w:p w14:paraId="03E5018B" w14:textId="4B5C1379" w:rsidR="00980F4F" w:rsidRPr="00511A36" w:rsidRDefault="00713FA0" w:rsidP="00734799">
            <w:pPr>
              <w:spacing w:line="240" w:lineRule="auto"/>
              <w:cnfStyle w:val="000000000000" w:firstRow="0" w:lastRow="0" w:firstColumn="0" w:lastColumn="0" w:oddVBand="0" w:evenVBand="0" w:oddHBand="0" w:evenHBand="0" w:firstRowFirstColumn="0" w:firstRowLastColumn="0" w:lastRowFirstColumn="0" w:lastRowLastColumn="0"/>
              <w:rPr>
                <w:rFonts w:hint="eastAsia"/>
              </w:rPr>
            </w:pPr>
            <w:r w:rsidRPr="002508EE">
              <w:t xml:space="preserve">Prolonged or intense rainfall </w:t>
            </w:r>
            <w:r w:rsidR="00B61364">
              <w:t>that</w:t>
            </w:r>
            <w:r w:rsidRPr="002508EE">
              <w:t xml:space="preserve"> inundate</w:t>
            </w:r>
            <w:r w:rsidR="00B61364">
              <w:t>s</w:t>
            </w:r>
            <w:r w:rsidRPr="002508EE">
              <w:t xml:space="preserve"> inland areas</w:t>
            </w:r>
            <w:r w:rsidR="00B61364">
              <w:t>;</w:t>
            </w:r>
            <w:r w:rsidRPr="002508EE">
              <w:t xml:space="preserve"> runoff overwhelms natural or built drainage systems, leading to stormwater flooding</w:t>
            </w:r>
            <w:r w:rsidR="00BF3F4D">
              <w:t>, elevated groundwater levels,</w:t>
            </w:r>
            <w:r w:rsidRPr="002508EE">
              <w:t xml:space="preserve"> and ponding. </w:t>
            </w:r>
          </w:p>
        </w:tc>
        <w:tc>
          <w:tcPr>
            <w:tcW w:w="3491" w:type="dxa"/>
            <w:vAlign w:val="center"/>
          </w:tcPr>
          <w:p w14:paraId="0378F34A" w14:textId="75B68E20" w:rsidR="00980F4F" w:rsidRPr="00511A36" w:rsidRDefault="00A6455E" w:rsidP="00980F4F">
            <w:pPr>
              <w:cnfStyle w:val="000000000000" w:firstRow="0" w:lastRow="0" w:firstColumn="0" w:lastColumn="0" w:oddVBand="0" w:evenVBand="0" w:oddHBand="0" w:evenHBand="0" w:firstRowFirstColumn="0" w:firstRowLastColumn="0" w:lastRowFirstColumn="0" w:lastRowLastColumn="0"/>
              <w:rPr>
                <w:rFonts w:hint="eastAsia"/>
              </w:rPr>
            </w:pPr>
            <w:r>
              <w:t>NOAA and NRCC</w:t>
            </w:r>
          </w:p>
        </w:tc>
      </w:tr>
      <w:tr w:rsidR="004D42B8" w:rsidRPr="00511A36" w14:paraId="5A981913" w14:textId="77777777" w:rsidTr="005A61AC">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148D6D9E" w14:textId="139D1453" w:rsidR="004D42B8" w:rsidRPr="00511A36" w:rsidRDefault="004D42B8" w:rsidP="004D42B8">
            <w:pPr>
              <w:rPr>
                <w:rFonts w:hint="eastAsia"/>
              </w:rPr>
            </w:pPr>
            <w:r w:rsidRPr="00511A36">
              <w:t xml:space="preserve">Riverine </w:t>
            </w:r>
            <w:r w:rsidR="00980F4F" w:rsidRPr="00511A36">
              <w:t xml:space="preserve">(Fluvial) </w:t>
            </w:r>
            <w:r w:rsidRPr="00511A36">
              <w:t>Flooding</w:t>
            </w:r>
          </w:p>
        </w:tc>
        <w:tc>
          <w:tcPr>
            <w:tcW w:w="4050" w:type="dxa"/>
            <w:vAlign w:val="center"/>
          </w:tcPr>
          <w:p w14:paraId="4B67BE57" w14:textId="1D630C0B" w:rsidR="004D42B8" w:rsidRPr="00511A36" w:rsidRDefault="00713FA0" w:rsidP="00734799">
            <w:pPr>
              <w:cnfStyle w:val="000000100000" w:firstRow="0" w:lastRow="0" w:firstColumn="0" w:lastColumn="0" w:oddVBand="0" w:evenVBand="0" w:oddHBand="1" w:evenHBand="0" w:firstRowFirstColumn="0" w:firstRowLastColumn="0" w:lastRowFirstColumn="0" w:lastRowLastColumn="0"/>
              <w:rPr>
                <w:rFonts w:eastAsiaTheme="minorHAnsi"/>
                <w:sz w:val="22"/>
                <w:szCs w:val="22"/>
                <w:lang w:eastAsia="en-US"/>
              </w:rPr>
            </w:pPr>
            <w:r>
              <w:t xml:space="preserve">Precipitation </w:t>
            </w:r>
            <w:r w:rsidRPr="00E37E30">
              <w:t xml:space="preserve">accumulates in waterways and </w:t>
            </w:r>
            <w:r>
              <w:t xml:space="preserve">linked </w:t>
            </w:r>
            <w:r w:rsidRPr="00E37E30">
              <w:t>drainage systems</w:t>
            </w:r>
            <w:r>
              <w:t xml:space="preserve">, </w:t>
            </w:r>
            <w:r w:rsidR="00BF3F4D">
              <w:t>elevating</w:t>
            </w:r>
            <w:r w:rsidRPr="00E37E30">
              <w:t xml:space="preserve"> water</w:t>
            </w:r>
            <w:r>
              <w:t xml:space="preserve"> surface</w:t>
            </w:r>
            <w:r w:rsidRPr="00E37E30">
              <w:t xml:space="preserve"> levels that exceed the capacity of a stream</w:t>
            </w:r>
            <w:r>
              <w:t xml:space="preserve"> channel or </w:t>
            </w:r>
            <w:r w:rsidRPr="00E37E30">
              <w:t xml:space="preserve">riverbank. </w:t>
            </w:r>
          </w:p>
        </w:tc>
        <w:tc>
          <w:tcPr>
            <w:tcW w:w="3491" w:type="dxa"/>
            <w:vAlign w:val="center"/>
          </w:tcPr>
          <w:p w14:paraId="1A3C7D20" w14:textId="77777777" w:rsidR="00BF3F4D" w:rsidRDefault="00BF3F4D">
            <w:pPr>
              <w:cnfStyle w:val="000000100000" w:firstRow="0" w:lastRow="0" w:firstColumn="0" w:lastColumn="0" w:oddVBand="0" w:evenVBand="0" w:oddHBand="1" w:evenHBand="0" w:firstRowFirstColumn="0" w:firstRowLastColumn="0" w:lastRowFirstColumn="0" w:lastRowLastColumn="0"/>
              <w:rPr>
                <w:rFonts w:hint="eastAsia"/>
              </w:rPr>
            </w:pPr>
          </w:p>
          <w:p w14:paraId="3323FED6" w14:textId="78CAE191" w:rsidR="004D42B8" w:rsidRDefault="004D42B8">
            <w:pP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Federal Emergency Management Agency (FEMA) National Flood Hazard Layer (NFHL) and FEMA Hazus tool </w:t>
            </w:r>
          </w:p>
          <w:p w14:paraId="65FDF475" w14:textId="7777777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p>
        </w:tc>
      </w:tr>
      <w:tr w:rsidR="004D42B8" w:rsidRPr="00511A36" w14:paraId="45E42552" w14:textId="77777777" w:rsidTr="005A61AC">
        <w:trPr>
          <w:trHeight w:val="3059"/>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1806CF50" w14:textId="77777777" w:rsidR="004D42B8" w:rsidRPr="00511A36" w:rsidRDefault="004D42B8" w:rsidP="004D42B8">
            <w:pPr>
              <w:rPr>
                <w:rFonts w:hint="eastAsia"/>
              </w:rPr>
            </w:pPr>
            <w:r w:rsidRPr="00511A36">
              <w:t>Coastal Flooding</w:t>
            </w:r>
          </w:p>
        </w:tc>
        <w:tc>
          <w:tcPr>
            <w:tcW w:w="4050" w:type="dxa"/>
            <w:vAlign w:val="center"/>
          </w:tcPr>
          <w:p w14:paraId="27D1AD67" w14:textId="23320692" w:rsidR="004D42B8" w:rsidRPr="00511A36" w:rsidRDefault="00BF3F4D" w:rsidP="00734799">
            <w:pPr>
              <w:cnfStyle w:val="000000000000" w:firstRow="0" w:lastRow="0" w:firstColumn="0" w:lastColumn="0" w:oddVBand="0" w:evenVBand="0" w:oddHBand="0" w:evenHBand="0" w:firstRowFirstColumn="0" w:firstRowLastColumn="0" w:lastRowFirstColumn="0" w:lastRowLastColumn="0"/>
              <w:rPr>
                <w:rFonts w:hint="eastAsia"/>
              </w:rPr>
            </w:pPr>
            <w:r w:rsidRPr="002508EE">
              <w:t xml:space="preserve">Coastal flooding </w:t>
            </w:r>
            <w:r>
              <w:t>is associated with three related hazards: sea level rise, saltwater intrusion, and storm surge.</w:t>
            </w:r>
          </w:p>
        </w:tc>
        <w:tc>
          <w:tcPr>
            <w:tcW w:w="3491" w:type="dxa"/>
            <w:vAlign w:val="center"/>
          </w:tcPr>
          <w:p w14:paraId="7A153D6F" w14:textId="77777777" w:rsidR="00622E6B" w:rsidRDefault="00622E6B">
            <w:pPr>
              <w:cnfStyle w:val="000000000000" w:firstRow="0" w:lastRow="0" w:firstColumn="0" w:lastColumn="0" w:oddVBand="0" w:evenVBand="0" w:oddHBand="0" w:evenHBand="0" w:firstRowFirstColumn="0" w:firstRowLastColumn="0" w:lastRowFirstColumn="0" w:lastRowLastColumn="0"/>
              <w:rPr>
                <w:rFonts w:hint="eastAsia"/>
              </w:rPr>
            </w:pPr>
            <w:r>
              <w:t>Connecticut Institute for Resilience &amp; Climate Adaptation (</w:t>
            </w:r>
            <w:r w:rsidR="004D42B8" w:rsidRPr="00511A36">
              <w:t>CIRCA</w:t>
            </w:r>
            <w:r>
              <w:t>)</w:t>
            </w:r>
          </w:p>
          <w:p w14:paraId="178F6282" w14:textId="5132C4FD" w:rsidR="00622E6B" w:rsidRDefault="00622E6B">
            <w:pPr>
              <w:cnfStyle w:val="000000000000" w:firstRow="0" w:lastRow="0" w:firstColumn="0" w:lastColumn="0" w:oddVBand="0" w:evenVBand="0" w:oddHBand="0" w:evenHBand="0" w:firstRowFirstColumn="0" w:firstRowLastColumn="0" w:lastRowFirstColumn="0" w:lastRowLastColumn="0"/>
              <w:rPr>
                <w:rFonts w:hint="eastAsia"/>
              </w:rPr>
            </w:pPr>
          </w:p>
          <w:p w14:paraId="1977AD52" w14:textId="23BC065D" w:rsidR="00622E6B" w:rsidRDefault="004D42B8">
            <w:pPr>
              <w:cnfStyle w:val="000000000000" w:firstRow="0" w:lastRow="0" w:firstColumn="0" w:lastColumn="0" w:oddVBand="0" w:evenVBand="0" w:oddHBand="0" w:evenHBand="0" w:firstRowFirstColumn="0" w:firstRowLastColumn="0" w:lastRowFirstColumn="0" w:lastRowLastColumn="0"/>
              <w:rPr>
                <w:rFonts w:hint="eastAsia"/>
              </w:rPr>
            </w:pPr>
            <w:r w:rsidRPr="00511A36">
              <w:t>Connecticut Physical Climate Science Assessment Report (CTPCSA</w:t>
            </w:r>
            <w:r w:rsidRPr="002508EE">
              <w:t>)</w:t>
            </w:r>
          </w:p>
          <w:p w14:paraId="07B821D0" w14:textId="77777777" w:rsidR="00622E6B" w:rsidRDefault="00622E6B">
            <w:pPr>
              <w:cnfStyle w:val="000000000000" w:firstRow="0" w:lastRow="0" w:firstColumn="0" w:lastColumn="0" w:oddVBand="0" w:evenVBand="0" w:oddHBand="0" w:evenHBand="0" w:firstRowFirstColumn="0" w:firstRowLastColumn="0" w:lastRowFirstColumn="0" w:lastRowLastColumn="0"/>
              <w:rPr>
                <w:rFonts w:hint="eastAsia"/>
              </w:rPr>
            </w:pPr>
          </w:p>
          <w:p w14:paraId="33BBDE64" w14:textId="18C829E4" w:rsidR="004D42B8" w:rsidRDefault="004D42B8">
            <w:pPr>
              <w:cnfStyle w:val="000000000000" w:firstRow="0" w:lastRow="0" w:firstColumn="0" w:lastColumn="0" w:oddVBand="0" w:evenVBand="0" w:oddHBand="0" w:evenHBand="0" w:firstRowFirstColumn="0" w:firstRowLastColumn="0" w:lastRowFirstColumn="0" w:lastRowLastColumn="0"/>
              <w:rPr>
                <w:rFonts w:hint="eastAsia"/>
              </w:rPr>
            </w:pPr>
            <w:r w:rsidRPr="00511A36">
              <w:t>CT DEEP</w:t>
            </w:r>
            <w:r w:rsidR="00223E45">
              <w:t xml:space="preserve"> and </w:t>
            </w:r>
            <w:r w:rsidR="00997303" w:rsidRPr="002508EE">
              <w:t xml:space="preserve">Connecticut Environmental Conditions Online </w:t>
            </w:r>
            <w:r w:rsidR="00997303">
              <w:t>(</w:t>
            </w:r>
            <w:r w:rsidRPr="00511A36">
              <w:t>CT ECO</w:t>
            </w:r>
            <w:r w:rsidR="00997303">
              <w:t>)</w:t>
            </w:r>
          </w:p>
          <w:p w14:paraId="0FD69F57" w14:textId="77777777" w:rsidR="00336B28" w:rsidRDefault="00336B28">
            <w:pPr>
              <w:cnfStyle w:val="000000000000" w:firstRow="0" w:lastRow="0" w:firstColumn="0" w:lastColumn="0" w:oddVBand="0" w:evenVBand="0" w:oddHBand="0" w:evenHBand="0" w:firstRowFirstColumn="0" w:firstRowLastColumn="0" w:lastRowFirstColumn="0" w:lastRowLastColumn="0"/>
              <w:rPr>
                <w:rFonts w:hint="eastAsia"/>
              </w:rPr>
            </w:pPr>
          </w:p>
          <w:p w14:paraId="31F6032A" w14:textId="48527F55" w:rsidR="004D42B8" w:rsidRPr="00511A36" w:rsidRDefault="00336B28">
            <w:pPr>
              <w:cnfStyle w:val="000000000000" w:firstRow="0" w:lastRow="0" w:firstColumn="0" w:lastColumn="0" w:oddVBand="0" w:evenVBand="0" w:oddHBand="0" w:evenHBand="0" w:firstRowFirstColumn="0" w:firstRowLastColumn="0" w:lastRowFirstColumn="0" w:lastRowLastColumn="0"/>
              <w:rPr>
                <w:rFonts w:hint="eastAsia"/>
              </w:rPr>
            </w:pPr>
            <w:r>
              <w:t>NOAA Sea</w:t>
            </w:r>
            <w:r w:rsidR="00F01AB4">
              <w:t>, Lake</w:t>
            </w:r>
            <w:r w:rsidR="00000517">
              <w:t>,</w:t>
            </w:r>
            <w:r w:rsidR="00F01AB4">
              <w:t xml:space="preserve"> and Overland Surges from Hurricanes (SLOSH)</w:t>
            </w:r>
          </w:p>
        </w:tc>
      </w:tr>
      <w:tr w:rsidR="004D42B8" w:rsidRPr="00511A36" w14:paraId="66588097" w14:textId="77777777" w:rsidTr="005A61AC">
        <w:trPr>
          <w:cnfStyle w:val="000000100000" w:firstRow="0" w:lastRow="0" w:firstColumn="0" w:lastColumn="0" w:oddVBand="0" w:evenVBand="0" w:oddHBand="1" w:evenHBand="0" w:firstRowFirstColumn="0" w:firstRowLastColumn="0" w:lastRowFirstColumn="0" w:lastRowLastColumn="0"/>
          <w:trHeight w:val="1709"/>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5C788411" w14:textId="77777777" w:rsidR="004D42B8" w:rsidRPr="00511A36" w:rsidRDefault="004D42B8" w:rsidP="004D42B8">
            <w:pPr>
              <w:rPr>
                <w:rFonts w:hint="eastAsia"/>
              </w:rPr>
            </w:pPr>
            <w:r w:rsidRPr="00511A36">
              <w:t>Extreme Heat</w:t>
            </w:r>
          </w:p>
        </w:tc>
        <w:tc>
          <w:tcPr>
            <w:tcW w:w="4050" w:type="dxa"/>
            <w:vAlign w:val="center"/>
          </w:tcPr>
          <w:p w14:paraId="4C91B272" w14:textId="7921D83E" w:rsidR="004D42B8" w:rsidRPr="00511A36" w:rsidRDefault="00BF3F4D" w:rsidP="00734799">
            <w:pPr>
              <w:cnfStyle w:val="000000100000" w:firstRow="0" w:lastRow="0" w:firstColumn="0" w:lastColumn="0" w:oddVBand="0" w:evenVBand="0" w:oddHBand="1" w:evenHBand="0" w:firstRowFirstColumn="0" w:firstRowLastColumn="0" w:lastRowFirstColumn="0" w:lastRowLastColumn="0"/>
              <w:rPr>
                <w:rFonts w:hint="eastAsia"/>
              </w:rPr>
            </w:pPr>
            <w:r>
              <w:t>H</w:t>
            </w:r>
            <w:r w:rsidRPr="002508EE">
              <w:t>igh temperatures that persist over multiple days</w:t>
            </w:r>
            <w:r>
              <w:t>.</w:t>
            </w:r>
          </w:p>
        </w:tc>
        <w:tc>
          <w:tcPr>
            <w:tcW w:w="3491" w:type="dxa"/>
            <w:vAlign w:val="center"/>
          </w:tcPr>
          <w:p w14:paraId="0DB6CFE2" w14:textId="2271A881" w:rsidR="00AE56D9" w:rsidRDefault="004D42B8">
            <w:pP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CIRCA </w:t>
            </w:r>
            <w:r w:rsidR="00AE56D9" w:rsidRPr="002508EE">
              <w:t xml:space="preserve">Climate Change Vulnerability Index </w:t>
            </w:r>
            <w:r w:rsidR="00AE56D9">
              <w:t>(</w:t>
            </w:r>
            <w:r w:rsidRPr="00511A36">
              <w:t>CCVI</w:t>
            </w:r>
            <w:r w:rsidR="00AE56D9">
              <w:t>)</w:t>
            </w:r>
            <w:r w:rsidRPr="00511A36">
              <w:t xml:space="preserve"> </w:t>
            </w:r>
          </w:p>
          <w:p w14:paraId="776C3641" w14:textId="77777777" w:rsidR="00AE56D9" w:rsidRDefault="00AE56D9">
            <w:pPr>
              <w:cnfStyle w:val="000000100000" w:firstRow="0" w:lastRow="0" w:firstColumn="0" w:lastColumn="0" w:oddVBand="0" w:evenVBand="0" w:oddHBand="1" w:evenHBand="0" w:firstRowFirstColumn="0" w:firstRowLastColumn="0" w:lastRowFirstColumn="0" w:lastRowLastColumn="0"/>
              <w:rPr>
                <w:rFonts w:hint="eastAsia"/>
              </w:rPr>
            </w:pPr>
          </w:p>
          <w:p w14:paraId="0C77ADF0" w14:textId="4544B1F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r w:rsidRPr="00511A36">
              <w:t>CTPCSA</w:t>
            </w:r>
          </w:p>
        </w:tc>
      </w:tr>
      <w:tr w:rsidR="004D42B8" w:rsidRPr="00511A36" w14:paraId="2D2CDA2C" w14:textId="77777777" w:rsidTr="005A61AC">
        <w:trPr>
          <w:trHeight w:val="2852"/>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6C4A07BB" w14:textId="77777777" w:rsidR="004D42B8" w:rsidRPr="00511A36" w:rsidRDefault="004D42B8" w:rsidP="004D42B8">
            <w:pPr>
              <w:rPr>
                <w:rFonts w:hint="eastAsia"/>
              </w:rPr>
            </w:pPr>
            <w:r w:rsidRPr="00511A36">
              <w:t>Drought</w:t>
            </w:r>
          </w:p>
        </w:tc>
        <w:tc>
          <w:tcPr>
            <w:tcW w:w="4050" w:type="dxa"/>
            <w:vAlign w:val="center"/>
          </w:tcPr>
          <w:p w14:paraId="72A9C59B" w14:textId="4B02E1BB" w:rsidR="004D42B8" w:rsidRPr="00511A36" w:rsidRDefault="00375346" w:rsidP="00734799">
            <w:pPr>
              <w:cnfStyle w:val="000000000000" w:firstRow="0" w:lastRow="0" w:firstColumn="0" w:lastColumn="0" w:oddVBand="0" w:evenVBand="0" w:oddHBand="0" w:evenHBand="0" w:firstRowFirstColumn="0" w:firstRowLastColumn="0" w:lastRowFirstColumn="0" w:lastRowLastColumn="0"/>
              <w:rPr>
                <w:rFonts w:hint="eastAsia"/>
              </w:rPr>
            </w:pPr>
            <w:r>
              <w:t>A</w:t>
            </w:r>
            <w:r w:rsidR="00BF3F4D" w:rsidRPr="002508EE">
              <w:t xml:space="preserve"> sustained period of low precipitation relative to established climatic norms, resulting in water deficits that affect water supply, agricultural productivity, ecological function, and infrastructure performance</w:t>
            </w:r>
            <w:r>
              <w:t>.</w:t>
            </w:r>
            <w:r w:rsidR="004D42B8" w:rsidRPr="002508EE">
              <w:t xml:space="preserve"> </w:t>
            </w:r>
          </w:p>
        </w:tc>
        <w:tc>
          <w:tcPr>
            <w:tcW w:w="3491" w:type="dxa"/>
            <w:vAlign w:val="center"/>
          </w:tcPr>
          <w:p w14:paraId="167FC04B" w14:textId="44C54EAF" w:rsidR="00223E45" w:rsidRDefault="00F80951">
            <w:pPr>
              <w:cnfStyle w:val="000000000000" w:firstRow="0" w:lastRow="0" w:firstColumn="0" w:lastColumn="0" w:oddVBand="0" w:evenVBand="0" w:oddHBand="0" w:evenHBand="0" w:firstRowFirstColumn="0" w:firstRowLastColumn="0" w:lastRowFirstColumn="0" w:lastRowLastColumn="0"/>
              <w:rPr>
                <w:rFonts w:hint="eastAsia"/>
              </w:rPr>
            </w:pPr>
            <w:r w:rsidRPr="002508EE">
              <w:t>United States Department of Agricultur</w:t>
            </w:r>
            <w:r>
              <w:t>e (</w:t>
            </w:r>
            <w:r w:rsidR="004D42B8" w:rsidRPr="00511A36">
              <w:t>USDA</w:t>
            </w:r>
            <w:r>
              <w:t>)</w:t>
            </w:r>
            <w:r w:rsidR="004D42B8" w:rsidRPr="002508EE">
              <w:t xml:space="preserve"> </w:t>
            </w:r>
            <w:r w:rsidR="00733383">
              <w:t>Palmer Drought Severity Index (</w:t>
            </w:r>
            <w:r w:rsidR="004D42B8" w:rsidRPr="00511A36">
              <w:t>PDSI</w:t>
            </w:r>
            <w:r w:rsidR="00733383">
              <w:t>)</w:t>
            </w:r>
            <w:r w:rsidR="00223E45">
              <w:br/>
            </w:r>
          </w:p>
          <w:p w14:paraId="65C48B8D" w14:textId="489AAB15" w:rsidR="00223E45" w:rsidRDefault="004D42B8">
            <w:pPr>
              <w:cnfStyle w:val="000000000000" w:firstRow="0" w:lastRow="0" w:firstColumn="0" w:lastColumn="0" w:oddVBand="0" w:evenVBand="0" w:oddHBand="0" w:evenHBand="0" w:firstRowFirstColumn="0" w:firstRowLastColumn="0" w:lastRowFirstColumn="0" w:lastRowLastColumn="0"/>
              <w:rPr>
                <w:rFonts w:hint="eastAsia"/>
              </w:rPr>
            </w:pPr>
            <w:r w:rsidRPr="00511A36">
              <w:t>US Drought Monitor</w:t>
            </w:r>
          </w:p>
          <w:p w14:paraId="1595D7CB" w14:textId="77777777" w:rsidR="00223E45" w:rsidRDefault="00223E45">
            <w:pPr>
              <w:cnfStyle w:val="000000000000" w:firstRow="0" w:lastRow="0" w:firstColumn="0" w:lastColumn="0" w:oddVBand="0" w:evenVBand="0" w:oddHBand="0" w:evenHBand="0" w:firstRowFirstColumn="0" w:firstRowLastColumn="0" w:lastRowFirstColumn="0" w:lastRowLastColumn="0"/>
              <w:rPr>
                <w:rFonts w:hint="eastAsia"/>
              </w:rPr>
            </w:pPr>
          </w:p>
          <w:p w14:paraId="569B3ADD" w14:textId="70A230E6" w:rsidR="00223E45" w:rsidRDefault="00351E2B">
            <w:pPr>
              <w:cnfStyle w:val="000000000000" w:firstRow="0" w:lastRow="0" w:firstColumn="0" w:lastColumn="0" w:oddVBand="0" w:evenVBand="0" w:oddHBand="0" w:evenHBand="0" w:firstRowFirstColumn="0" w:firstRowLastColumn="0" w:lastRowFirstColumn="0" w:lastRowLastColumn="0"/>
              <w:rPr>
                <w:rFonts w:hint="eastAsia"/>
              </w:rPr>
            </w:pPr>
            <w:r w:rsidRPr="00511A36">
              <w:t>CTPCSA</w:t>
            </w:r>
          </w:p>
          <w:p w14:paraId="4C339900" w14:textId="77777777" w:rsidR="00223E45" w:rsidRDefault="00223E45">
            <w:pPr>
              <w:cnfStyle w:val="000000000000" w:firstRow="0" w:lastRow="0" w:firstColumn="0" w:lastColumn="0" w:oddVBand="0" w:evenVBand="0" w:oddHBand="0" w:evenHBand="0" w:firstRowFirstColumn="0" w:firstRowLastColumn="0" w:lastRowFirstColumn="0" w:lastRowLastColumn="0"/>
              <w:rPr>
                <w:rFonts w:hint="eastAsia"/>
              </w:rPr>
            </w:pPr>
          </w:p>
          <w:p w14:paraId="205F331A" w14:textId="193AD374" w:rsidR="00223E45" w:rsidRDefault="005D0AB1">
            <w:pPr>
              <w:cnfStyle w:val="000000000000" w:firstRow="0" w:lastRow="0" w:firstColumn="0" w:lastColumn="0" w:oddVBand="0" w:evenVBand="0" w:oddHBand="0" w:evenHBand="0" w:firstRowFirstColumn="0" w:firstRowLastColumn="0" w:lastRowFirstColumn="0" w:lastRowLastColumn="0"/>
              <w:rPr>
                <w:rFonts w:hint="eastAsia"/>
              </w:rPr>
            </w:pPr>
            <w:r>
              <w:t>CT</w:t>
            </w:r>
            <w:r w:rsidRPr="00511A36">
              <w:t xml:space="preserve"> Drought Preparedness and Response Plan</w:t>
            </w:r>
          </w:p>
          <w:p w14:paraId="079F6826" w14:textId="77777777" w:rsidR="00223E45" w:rsidRDefault="00223E45">
            <w:pPr>
              <w:cnfStyle w:val="000000000000" w:firstRow="0" w:lastRow="0" w:firstColumn="0" w:lastColumn="0" w:oddVBand="0" w:evenVBand="0" w:oddHBand="0" w:evenHBand="0" w:firstRowFirstColumn="0" w:firstRowLastColumn="0" w:lastRowFirstColumn="0" w:lastRowLastColumn="0"/>
              <w:rPr>
                <w:rFonts w:hint="eastAsia"/>
              </w:rPr>
            </w:pPr>
          </w:p>
          <w:p w14:paraId="760EB46E" w14:textId="00CED233" w:rsidR="004D42B8" w:rsidRPr="00511A36" w:rsidRDefault="005D0AB1">
            <w:pPr>
              <w:cnfStyle w:val="000000000000" w:firstRow="0" w:lastRow="0" w:firstColumn="0" w:lastColumn="0" w:oddVBand="0" w:evenVBand="0" w:oddHBand="0" w:evenHBand="0" w:firstRowFirstColumn="0" w:firstRowLastColumn="0" w:lastRowFirstColumn="0" w:lastRowLastColumn="0"/>
              <w:rPr>
                <w:rFonts w:hint="eastAsia"/>
              </w:rPr>
            </w:pPr>
            <w:r>
              <w:t>CT State Water Plan</w:t>
            </w:r>
          </w:p>
        </w:tc>
      </w:tr>
      <w:tr w:rsidR="004D42B8" w:rsidRPr="00511A36" w14:paraId="4B1342E6" w14:textId="77777777" w:rsidTr="005A61AC">
        <w:trPr>
          <w:cnfStyle w:val="000000100000" w:firstRow="0" w:lastRow="0" w:firstColumn="0" w:lastColumn="0" w:oddVBand="0" w:evenVBand="0" w:oddHBand="1" w:evenHBand="0" w:firstRowFirstColumn="0" w:firstRowLastColumn="0" w:lastRowFirstColumn="0" w:lastRowLastColumn="0"/>
          <w:trHeight w:val="215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2CBA875A" w14:textId="77777777" w:rsidR="004D42B8" w:rsidRPr="00511A36" w:rsidRDefault="004D42B8" w:rsidP="004D42B8">
            <w:pPr>
              <w:rPr>
                <w:rFonts w:hint="eastAsia"/>
              </w:rPr>
            </w:pPr>
            <w:r w:rsidRPr="00511A36">
              <w:t>Wildfire</w:t>
            </w:r>
          </w:p>
        </w:tc>
        <w:tc>
          <w:tcPr>
            <w:tcW w:w="4050" w:type="dxa"/>
            <w:vAlign w:val="center"/>
          </w:tcPr>
          <w:p w14:paraId="0B7139AC" w14:textId="6F1AA75A" w:rsidR="004D42B8" w:rsidRPr="00511A36" w:rsidRDefault="00375346" w:rsidP="00734799">
            <w:pPr>
              <w:cnfStyle w:val="000000100000" w:firstRow="0" w:lastRow="0" w:firstColumn="0" w:lastColumn="0" w:oddVBand="0" w:evenVBand="0" w:oddHBand="1" w:evenHBand="0" w:firstRowFirstColumn="0" w:firstRowLastColumn="0" w:lastRowFirstColumn="0" w:lastRowLastColumn="0"/>
              <w:rPr>
                <w:rFonts w:hint="eastAsia"/>
              </w:rPr>
            </w:pPr>
            <w:r>
              <w:t>T</w:t>
            </w:r>
            <w:r w:rsidRPr="002508EE">
              <w:t xml:space="preserve">he </w:t>
            </w:r>
            <w:r w:rsidR="00057572">
              <w:t>uncontrolled</w:t>
            </w:r>
            <w:r w:rsidRPr="002508EE">
              <w:t xml:space="preserve"> burning of vegetation across natural or semi-natural landscapes</w:t>
            </w:r>
            <w:r w:rsidR="00057572">
              <w:t>.</w:t>
            </w:r>
          </w:p>
        </w:tc>
        <w:tc>
          <w:tcPr>
            <w:tcW w:w="3491" w:type="dxa"/>
            <w:vAlign w:val="center"/>
          </w:tcPr>
          <w:p w14:paraId="11BE42BF" w14:textId="6C931397" w:rsidR="004D42B8" w:rsidRPr="00511A36" w:rsidRDefault="00F80951">
            <w:pPr>
              <w:cnfStyle w:val="000000100000" w:firstRow="0" w:lastRow="0" w:firstColumn="0" w:lastColumn="0" w:oddVBand="0" w:evenVBand="0" w:oddHBand="1" w:evenHBand="0" w:firstRowFirstColumn="0" w:firstRowLastColumn="0" w:lastRowFirstColumn="0" w:lastRowLastColumn="0"/>
              <w:rPr>
                <w:rFonts w:hint="eastAsia"/>
              </w:rPr>
            </w:pPr>
            <w:r>
              <w:t>USDA</w:t>
            </w:r>
            <w:r w:rsidR="004D42B8" w:rsidRPr="00511A36">
              <w:t xml:space="preserve"> United States Forest Service (USFS) Wildland-Urban Interface (WUI)</w:t>
            </w:r>
          </w:p>
        </w:tc>
      </w:tr>
    </w:tbl>
    <w:p w14:paraId="4B2E9B80" w14:textId="77777777" w:rsidR="009A6A01" w:rsidRDefault="009A6A01" w:rsidP="00734799">
      <w:pPr>
        <w:rPr>
          <w:rFonts w:hint="eastAsia"/>
        </w:rPr>
      </w:pPr>
    </w:p>
    <w:p w14:paraId="3F76FB4C" w14:textId="25BA3F4A" w:rsidR="002F2B65" w:rsidRPr="002508EE" w:rsidRDefault="002F2B65" w:rsidP="002F2B65">
      <w:pPr>
        <w:pStyle w:val="Heading1"/>
        <w:rPr>
          <w:rFonts w:hint="eastAsia"/>
        </w:rPr>
      </w:pPr>
      <w:bookmarkStart w:id="12" w:name="_Toc233228200"/>
      <w:r w:rsidRPr="002508EE">
        <w:t xml:space="preserve">Hazard Interactions </w:t>
      </w:r>
      <w:r w:rsidR="00351005">
        <w:t>and</w:t>
      </w:r>
      <w:r w:rsidRPr="002508EE">
        <w:t xml:space="preserve"> </w:t>
      </w:r>
      <w:r w:rsidR="007A2EF2">
        <w:br/>
      </w:r>
      <w:r w:rsidRPr="002508EE">
        <w:t>Compounding Risks</w:t>
      </w:r>
      <w:bookmarkEnd w:id="12"/>
    </w:p>
    <w:p w14:paraId="529375E3" w14:textId="715E63C0" w:rsidR="002F2B65" w:rsidRDefault="005B3AF2" w:rsidP="002F2B65">
      <w:pPr>
        <w:rPr>
          <w:rFonts w:hint="eastAsia"/>
        </w:rPr>
      </w:pPr>
      <w:r>
        <w:rPr>
          <w:noProof/>
        </w:rPr>
        <w:drawing>
          <wp:anchor distT="0" distB="0" distL="114300" distR="114300" simplePos="0" relativeHeight="251658245" behindDoc="0" locked="0" layoutInCell="1" allowOverlap="1" wp14:anchorId="4676F02D" wp14:editId="4A0C2869">
            <wp:simplePos x="0" y="0"/>
            <wp:positionH relativeFrom="column">
              <wp:posOffset>-15240</wp:posOffset>
            </wp:positionH>
            <wp:positionV relativeFrom="paragraph">
              <wp:posOffset>1328420</wp:posOffset>
            </wp:positionV>
            <wp:extent cx="3609340" cy="3322955"/>
            <wp:effectExtent l="38100" t="38100" r="29210" b="29845"/>
            <wp:wrapSquare wrapText="bothSides"/>
            <wp:docPr id="10849106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910648" name="Picture 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3609340" cy="3322955"/>
                    </a:xfrm>
                    <a:prstGeom prst="rect">
                      <a:avLst/>
                    </a:prstGeom>
                    <a:noFill/>
                    <a:ln w="38100">
                      <a:solidFill>
                        <a:schemeClr val="accent1"/>
                      </a:solidFill>
                    </a:ln>
                  </pic:spPr>
                </pic:pic>
              </a:graphicData>
            </a:graphic>
            <wp14:sizeRelH relativeFrom="margin">
              <wp14:pctWidth>0</wp14:pctWidth>
            </wp14:sizeRelH>
          </wp:anchor>
        </w:drawing>
      </w:r>
      <w:r w:rsidR="004D4FAF">
        <w:t>E</w:t>
      </w:r>
      <w:r w:rsidR="002F2B65" w:rsidRPr="002508EE">
        <w:t xml:space="preserve">ach individual hazard is often associated with additional hazards during or directly because of the event, which compounds risk to communities. For example, a hurricane that produces heavy rain accompanied by high winds can exacerbate coastal flooding </w:t>
      </w:r>
      <w:r w:rsidR="00E15760">
        <w:t>due to</w:t>
      </w:r>
      <w:r w:rsidR="00E15760" w:rsidRPr="002508EE">
        <w:t xml:space="preserve"> </w:t>
      </w:r>
      <w:r w:rsidR="002F2B65" w:rsidRPr="002508EE">
        <w:t>storm surge. This may be</w:t>
      </w:r>
      <w:r w:rsidR="00980E8D">
        <w:t>come</w:t>
      </w:r>
      <w:r w:rsidR="002F2B65" w:rsidRPr="002508EE">
        <w:t xml:space="preserve"> increasingly frequent in the future, </w:t>
      </w:r>
      <w:r w:rsidR="00980E8D">
        <w:t>as</w:t>
      </w:r>
      <w:r w:rsidR="00980E8D" w:rsidRPr="002508EE">
        <w:t xml:space="preserve"> </w:t>
      </w:r>
      <w:r w:rsidR="002F2B65" w:rsidRPr="002508EE">
        <w:t xml:space="preserve">coastal flooding occurs more </w:t>
      </w:r>
      <w:r w:rsidR="00980E8D">
        <w:t>often</w:t>
      </w:r>
      <w:r w:rsidR="00980E8D" w:rsidRPr="002508EE">
        <w:t xml:space="preserve"> </w:t>
      </w:r>
      <w:r w:rsidR="002F2B65" w:rsidRPr="002508EE">
        <w:t xml:space="preserve">due to sea level rise. Alternatively, prolonged extreme heat and drought provide the fuel conditions for wildfires to ignite and spread easily, creating a positive feedback loop that perpetuates dry conditions. After fires, burned areas are then particularly vulnerable to flooding and erosion. </w:t>
      </w:r>
    </w:p>
    <w:p w14:paraId="39323E01" w14:textId="3992A80D" w:rsidR="00873925" w:rsidRPr="002508EE" w:rsidRDefault="00873925" w:rsidP="002F2B65">
      <w:pPr>
        <w:rPr>
          <w:rFonts w:hint="eastAsia"/>
        </w:rPr>
      </w:pPr>
      <w:r>
        <w:t xml:space="preserve">Some interactions are less intuitive than others. </w:t>
      </w:r>
      <w:r w:rsidR="00B16929">
        <w:t xml:space="preserve">When coastal </w:t>
      </w:r>
      <w:r w:rsidR="00FF6F14">
        <w:t xml:space="preserve">brackish areas experience </w:t>
      </w:r>
      <w:r w:rsidR="00EC3C09">
        <w:t xml:space="preserve">prolonged drought, freshwater </w:t>
      </w:r>
      <w:r w:rsidR="001954CC">
        <w:t xml:space="preserve">aquifers recede and saltwater </w:t>
      </w:r>
      <w:r w:rsidR="00DE1DFE">
        <w:t>intrudes</w:t>
      </w:r>
      <w:r w:rsidR="001954CC">
        <w:t xml:space="preserve">, </w:t>
      </w:r>
      <w:r w:rsidR="00DE1DFE">
        <w:t>accelerating</w:t>
      </w:r>
      <w:r w:rsidR="001954CC">
        <w:t xml:space="preserve"> saltwater intrusion in areas already experiencing sea level rise.</w:t>
      </w:r>
    </w:p>
    <w:p w14:paraId="7E1E7927" w14:textId="2F6D22AE" w:rsidR="002F2B65" w:rsidRPr="002508EE" w:rsidRDefault="00EB52A7" w:rsidP="002F2B65">
      <w:pPr>
        <w:rPr>
          <w:rFonts w:hint="eastAsia"/>
        </w:rPr>
      </w:pPr>
      <w:r>
        <w:rPr>
          <w:noProof/>
        </w:rPr>
        <mc:AlternateContent>
          <mc:Choice Requires="wps">
            <w:drawing>
              <wp:anchor distT="0" distB="0" distL="114300" distR="114300" simplePos="0" relativeHeight="251658241" behindDoc="0" locked="0" layoutInCell="1" allowOverlap="1" wp14:anchorId="590B99E3" wp14:editId="67CC61B3">
                <wp:simplePos x="0" y="0"/>
                <wp:positionH relativeFrom="column">
                  <wp:posOffset>-13970</wp:posOffset>
                </wp:positionH>
                <wp:positionV relativeFrom="paragraph">
                  <wp:posOffset>2017395</wp:posOffset>
                </wp:positionV>
                <wp:extent cx="5822315" cy="183515"/>
                <wp:effectExtent l="0" t="0" r="6985" b="6985"/>
                <wp:wrapSquare wrapText="bothSides"/>
                <wp:docPr id="374771432" name="Text Box 1"/>
                <wp:cNvGraphicFramePr/>
                <a:graphic xmlns:a="http://schemas.openxmlformats.org/drawingml/2006/main">
                  <a:graphicData uri="http://schemas.microsoft.com/office/word/2010/wordprocessingShape">
                    <wps:wsp>
                      <wps:cNvSpPr txBox="1"/>
                      <wps:spPr>
                        <a:xfrm>
                          <a:off x="0" y="0"/>
                          <a:ext cx="5822315" cy="183515"/>
                        </a:xfrm>
                        <a:prstGeom prst="rect">
                          <a:avLst/>
                        </a:prstGeom>
                        <a:solidFill>
                          <a:prstClr val="white"/>
                        </a:solidFill>
                        <a:ln>
                          <a:noFill/>
                        </a:ln>
                      </wps:spPr>
                      <wps:txbx>
                        <w:txbxContent>
                          <w:p w14:paraId="159D035A" w14:textId="523A0425" w:rsidR="00C216BC" w:rsidRPr="00D219E7" w:rsidRDefault="00C216BC" w:rsidP="00734799">
                            <w:pPr>
                              <w:pStyle w:val="Caption"/>
                              <w:spacing w:before="0"/>
                              <w:rPr>
                                <w:rFonts w:hint="eastAsia"/>
                              </w:rPr>
                            </w:pPr>
                            <w:bookmarkStart w:id="13" w:name="_Toc233228242"/>
                            <w:r w:rsidRPr="00162924">
                              <w:rPr>
                                <w:rFonts w:hint="eastAsia"/>
                                <w:b/>
                                <w:bCs/>
                              </w:rPr>
                              <w:t xml:space="preserve">Figure </w:t>
                            </w:r>
                            <w:r w:rsidR="00383887" w:rsidRPr="00162924">
                              <w:rPr>
                                <w:b/>
                                <w:bCs/>
                              </w:rPr>
                              <w:fldChar w:fldCharType="begin"/>
                            </w:r>
                            <w:r w:rsidR="00383887" w:rsidRPr="00162924">
                              <w:rPr>
                                <w:rFonts w:hint="eastAsia"/>
                                <w:b/>
                                <w:bCs/>
                              </w:rPr>
                              <w:instrText xml:space="preserve"> SEQ Figure \* ARABIC </w:instrText>
                            </w:r>
                            <w:r w:rsidR="00383887" w:rsidRPr="00162924">
                              <w:rPr>
                                <w:b/>
                                <w:bCs/>
                              </w:rPr>
                              <w:fldChar w:fldCharType="separate"/>
                            </w:r>
                            <w:r w:rsidR="00CD3F8E" w:rsidRPr="00162924">
                              <w:rPr>
                                <w:rFonts w:hint="eastAsia"/>
                                <w:b/>
                                <w:bCs/>
                                <w:noProof/>
                              </w:rPr>
                              <w:t>3</w:t>
                            </w:r>
                            <w:r w:rsidR="00383887" w:rsidRPr="00162924">
                              <w:rPr>
                                <w:b/>
                                <w:bCs/>
                                <w:noProof/>
                              </w:rPr>
                              <w:fldChar w:fldCharType="end"/>
                            </w:r>
                            <w:r w:rsidRPr="00162924">
                              <w:rPr>
                                <w:rFonts w:hint="eastAsia"/>
                                <w:b/>
                                <w:bCs/>
                              </w:rPr>
                              <w:t>.</w:t>
                            </w:r>
                            <w:r>
                              <w:t xml:space="preserve"> Interactions between regional hazards.</w:t>
                            </w:r>
                            <w:bookmarkEnd w:id="1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B99E3" id="Text Box 1" o:spid="_x0000_s1028" type="#_x0000_t202" style="position:absolute;margin-left:-1.1pt;margin-top:158.85pt;width:458.45pt;height:14.4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" stroked="f">
                <v:textbox inset="0,0,0,0">
                  <w:txbxContent>
                    <w:p w14:paraId="159D035A" w14:textId="523A0425" w:rsidR="00C216BC" w:rsidRPr="00D219E7" w:rsidRDefault="00C216BC" w:rsidP="00734799">
                      <w:pPr>
                        <w:pStyle w:val="Caption"/>
                        <w:spacing w:before="0"/>
                        <w:rPr>
                          <w:rFonts w:hint="eastAsia"/>
                        </w:rPr>
                      </w:pPr>
                      <w:bookmarkStart w:id="14" w:name="_Toc233228242"/>
                      <w:r w:rsidRPr="00162924">
                        <w:rPr>
                          <w:rFonts w:hint="eastAsia"/>
                          <w:b/>
                          <w:bCs/>
                        </w:rPr>
                        <w:t xml:space="preserve">Figure </w:t>
                      </w:r>
                      <w:r w:rsidR="00383887" w:rsidRPr="00162924">
                        <w:rPr>
                          <w:b/>
                          <w:bCs/>
                        </w:rPr>
                        <w:fldChar w:fldCharType="begin"/>
                      </w:r>
                      <w:r w:rsidR="00383887" w:rsidRPr="00162924">
                        <w:rPr>
                          <w:rFonts w:hint="eastAsia"/>
                          <w:b/>
                          <w:bCs/>
                        </w:rPr>
                        <w:instrText xml:space="preserve"> SEQ Figure \* ARABIC </w:instrText>
                      </w:r>
                      <w:r w:rsidR="00383887" w:rsidRPr="00162924">
                        <w:rPr>
                          <w:b/>
                          <w:bCs/>
                        </w:rPr>
                        <w:fldChar w:fldCharType="separate"/>
                      </w:r>
                      <w:r w:rsidR="00CD3F8E" w:rsidRPr="00162924">
                        <w:rPr>
                          <w:rFonts w:hint="eastAsia"/>
                          <w:b/>
                          <w:bCs/>
                          <w:noProof/>
                        </w:rPr>
                        <w:t>3</w:t>
                      </w:r>
                      <w:r w:rsidR="00383887" w:rsidRPr="00162924">
                        <w:rPr>
                          <w:b/>
                          <w:bCs/>
                          <w:noProof/>
                        </w:rPr>
                        <w:fldChar w:fldCharType="end"/>
                      </w:r>
                      <w:r w:rsidRPr="00162924">
                        <w:rPr>
                          <w:rFonts w:hint="eastAsia"/>
                          <w:b/>
                          <w:bCs/>
                        </w:rPr>
                        <w:t>.</w:t>
                      </w:r>
                      <w:r>
                        <w:t xml:space="preserve"> Interactions between regional hazards.</w:t>
                      </w:r>
                      <w:bookmarkEnd w:id="14"/>
                    </w:p>
                  </w:txbxContent>
                </v:textbox>
                <w10:wrap type="square"/>
              </v:shape>
            </w:pict>
          </mc:Fallback>
        </mc:AlternateContent>
      </w:r>
      <w:r w:rsidR="002F2B65" w:rsidRPr="002508EE">
        <w:t xml:space="preserve">Healthy, functioning ecosystems provide essential services that support community resilience, </w:t>
      </w:r>
      <w:r w:rsidR="00BF2373">
        <w:t xml:space="preserve">but these services are currently </w:t>
      </w:r>
      <w:r w:rsidR="002F2B65" w:rsidRPr="002508EE">
        <w:t xml:space="preserve">threatened by climate change. Understanding the nature and implications of ecosystem and wildlife interactions is a necessary component of a comprehensive regional hazard assessment for WestCOG. </w:t>
      </w:r>
    </w:p>
    <w:p w14:paraId="7E68C7F6" w14:textId="631ECB61" w:rsidR="00C216BC" w:rsidRDefault="00C216BC" w:rsidP="00C216BC">
      <w:pPr>
        <w:rPr>
          <w:rFonts w:hint="eastAsia"/>
        </w:rPr>
      </w:pPr>
    </w:p>
    <w:p w14:paraId="5EFA30C1" w14:textId="3CB1326E" w:rsidR="00651E87" w:rsidRPr="002508EE" w:rsidRDefault="00651E87" w:rsidP="00162924">
      <w:pPr>
        <w:pStyle w:val="Heading2"/>
        <w:rPr>
          <w:rFonts w:hint="eastAsia"/>
        </w:rPr>
      </w:pPr>
      <w:bookmarkStart w:id="15" w:name="_Ref228514508"/>
      <w:bookmarkStart w:id="16" w:name="_Toc233228201"/>
      <w:r w:rsidRPr="002508EE">
        <w:t>Extreme Storm</w:t>
      </w:r>
      <w:r w:rsidR="001079F3">
        <w:t>s</w:t>
      </w:r>
      <w:bookmarkEnd w:id="15"/>
      <w:bookmarkEnd w:id="16"/>
    </w:p>
    <w:p w14:paraId="1D648538" w14:textId="0014D454" w:rsidR="00651E87" w:rsidRPr="002508EE" w:rsidRDefault="00651E87" w:rsidP="00651E87">
      <w:pPr>
        <w:rPr>
          <w:rFonts w:hint="eastAsia"/>
        </w:rPr>
      </w:pPr>
      <w:r w:rsidRPr="002508EE">
        <w:t>Extreme storm events in Western Connecticut</w:t>
      </w:r>
      <w:r w:rsidR="00730A8B">
        <w:t xml:space="preserve">, namely tropical cyclones, mid-latitude cyclones, and severe thunderstorms, </w:t>
      </w:r>
      <w:r w:rsidRPr="002508EE">
        <w:t>are characterized by both high frequency and high variability</w:t>
      </w:r>
      <w:r w:rsidR="00CC5DF3">
        <w:t xml:space="preserve"> </w:t>
      </w:r>
      <w:r w:rsidR="002643C7">
        <w:t>in</w:t>
      </w:r>
      <w:r w:rsidR="004C36E6">
        <w:t xml:space="preserve"> heavy precipitation</w:t>
      </w:r>
      <w:r w:rsidR="002643C7">
        <w:t xml:space="preserve"> and </w:t>
      </w:r>
      <w:r w:rsidR="004C36E6">
        <w:t>strong</w:t>
      </w:r>
      <w:r w:rsidR="00CC5DF3">
        <w:t xml:space="preserve"> winds</w:t>
      </w:r>
      <w:r w:rsidR="002643C7">
        <w:t>, among other</w:t>
      </w:r>
      <w:r w:rsidR="00D00C0C">
        <w:t xml:space="preserve"> </w:t>
      </w:r>
      <w:r w:rsidR="00DD61CC">
        <w:t>impacts</w:t>
      </w:r>
      <w:r w:rsidR="002643C7">
        <w:t>.</w:t>
      </w:r>
      <w:r w:rsidRPr="002508EE">
        <w:t xml:space="preserve"> </w:t>
      </w:r>
      <w:r w:rsidR="002643C7">
        <w:t>These w</w:t>
      </w:r>
      <w:r w:rsidRPr="002508EE">
        <w:t>eather systems are typically driven by the state's proximity to the jet stream and the interaction between moist Atlantic air and continental air masses. In summer and early fall, severe thunderstorms and tropical cyclones</w:t>
      </w:r>
      <w:r w:rsidR="0063243E">
        <w:t xml:space="preserve"> are prevalent,</w:t>
      </w:r>
      <w:r w:rsidRPr="002508EE">
        <w:t xml:space="preserve"> while late fall through spring is impacted by mid-latitude cyclones, including Nor’easters</w:t>
      </w:r>
      <w:r w:rsidR="0063243E">
        <w:t>.</w:t>
      </w:r>
      <w:r w:rsidR="00AA708B">
        <w:t xml:space="preserve"> </w:t>
      </w:r>
      <w:r w:rsidR="0014080C">
        <w:t>Importantly, e</w:t>
      </w:r>
      <w:r w:rsidR="00854865">
        <w:t>xtreme storm</w:t>
      </w:r>
      <w:r w:rsidR="00437779">
        <w:t>s have differing</w:t>
      </w:r>
      <w:r w:rsidR="00DC78F5">
        <w:t xml:space="preserve"> </w:t>
      </w:r>
      <w:r w:rsidR="00EB2D46">
        <w:t xml:space="preserve">compounding impacts on </w:t>
      </w:r>
      <w:r w:rsidR="00FA5517">
        <w:t xml:space="preserve">flooding hazards (Rainfall, Riverine, </w:t>
      </w:r>
      <w:r w:rsidR="00016995">
        <w:t xml:space="preserve">and </w:t>
      </w:r>
      <w:r w:rsidR="00125809">
        <w:t>Coastal Flooding</w:t>
      </w:r>
      <w:r w:rsidR="00927C31">
        <w:t>)</w:t>
      </w:r>
      <w:r w:rsidR="00E328C2">
        <w:t xml:space="preserve"> </w:t>
      </w:r>
      <w:r w:rsidR="00C5318D">
        <w:t xml:space="preserve">and cascading impacts </w:t>
      </w:r>
      <w:r w:rsidR="00E328C2">
        <w:t xml:space="preserve">depending on </w:t>
      </w:r>
      <w:r w:rsidR="00390DFE">
        <w:t xml:space="preserve">the </w:t>
      </w:r>
      <w:r w:rsidR="00DF6A98">
        <w:t>location and intensity of</w:t>
      </w:r>
      <w:r w:rsidR="00597C7F">
        <w:t xml:space="preserve"> precipitation and wind</w:t>
      </w:r>
      <w:r w:rsidR="00AA708B">
        <w:t>.</w:t>
      </w:r>
      <w:r w:rsidR="00A863F6">
        <w:t xml:space="preserve"> Storm</w:t>
      </w:r>
      <w:r w:rsidR="008F47B3">
        <w:t xml:space="preserve"> types and </w:t>
      </w:r>
      <w:r w:rsidR="00E77C89">
        <w:t xml:space="preserve">future </w:t>
      </w:r>
      <w:r w:rsidR="009125C3">
        <w:t xml:space="preserve">storm </w:t>
      </w:r>
      <w:r w:rsidR="00BF2373">
        <w:t>activity are</w:t>
      </w:r>
      <w:r w:rsidR="008F47B3">
        <w:t xml:space="preserve"> </w:t>
      </w:r>
      <w:r w:rsidR="009125C3">
        <w:t>discussed</w:t>
      </w:r>
      <w:r w:rsidR="008F47B3">
        <w:t xml:space="preserve"> below</w:t>
      </w:r>
      <w:r w:rsidR="00E77C89">
        <w:t>, with</w:t>
      </w:r>
      <w:r w:rsidR="009D130E">
        <w:t xml:space="preserve"> compounding impacts </w:t>
      </w:r>
      <w:r w:rsidR="008F47B3">
        <w:t>referenced within subsequent sections.</w:t>
      </w:r>
    </w:p>
    <w:p w14:paraId="345777F5" w14:textId="77777777" w:rsidR="00651E87" w:rsidRPr="002508EE" w:rsidRDefault="00651E87" w:rsidP="00162924">
      <w:pPr>
        <w:pStyle w:val="Heading3"/>
        <w:rPr>
          <w:rFonts w:hint="eastAsia"/>
        </w:rPr>
      </w:pPr>
      <w:bookmarkStart w:id="17" w:name="_Toc233228202"/>
      <w:r w:rsidRPr="002508EE">
        <w:t>Tropical Cyclones</w:t>
      </w:r>
      <w:bookmarkEnd w:id="17"/>
    </w:p>
    <w:p w14:paraId="1AA1B7D7" w14:textId="2F8912EB" w:rsidR="00651E87" w:rsidRPr="002508EE" w:rsidRDefault="00651E87" w:rsidP="00651E87">
      <w:pPr>
        <w:rPr>
          <w:rFonts w:hint="eastAsia"/>
        </w:rPr>
      </w:pPr>
      <w:r w:rsidRPr="002508EE">
        <w:t xml:space="preserve">Tropical cyclones (TCs), </w:t>
      </w:r>
      <w:r w:rsidR="00BD270C" w:rsidRPr="002508EE">
        <w:t>including</w:t>
      </w:r>
      <w:r w:rsidRPr="002508EE">
        <w:t xml:space="preserve"> tropical storms and hurricanes, are intensely rotating low-pressure systems that can produce strong winds, heavy rain, severe thunderstorms, and coastal storm surge over a widespread area. A tropical cyclone does not need to make direct landfall to impact an area, as spiral bands of thunderstorms can extend up to roughly 150 miles from the eye (center) of the storm. The North Atlantic hurricane season is June 1 – November 30, with peak storm activity typically occurring between late-August and early-October, making TC hazards a typically late-summer and early-fall phenomenon. </w:t>
      </w:r>
    </w:p>
    <w:p w14:paraId="491671AC" w14:textId="1CA25379" w:rsidR="00651E87" w:rsidRPr="002508EE" w:rsidRDefault="00651E87" w:rsidP="00651E87">
      <w:pPr>
        <w:rPr>
          <w:rFonts w:hint="eastAsia"/>
        </w:rPr>
      </w:pPr>
      <w:r w:rsidRPr="002508EE">
        <w:t xml:space="preserve">Historical TC frequency trends are variable and difficult to detect due to their influence from teleconnections such as the El-Niño Southern Oscillation (ENSO) and North Atlantic Oscillation (NAO), and less reliable data prior to the aircraft reconnaissance and satellite era. Over the past century, there has been no significant </w:t>
      </w:r>
      <w:r w:rsidR="007C1CF6" w:rsidRPr="002508EE">
        <w:t>increase</w:t>
      </w:r>
      <w:r w:rsidRPr="002508EE">
        <w:t xml:space="preserve"> in North Atlantic Basin storm activity (frequency), including landfalls. However, TC activity has statistically significantly increased over the last several decades, as indicated by more recent remotely sensed observations. This trend is anticipated to continue, though with less confidence based on climate model projections. There is greater confidence that TC</w:t>
      </w:r>
      <w:r w:rsidRPr="002508EE">
        <w:rPr>
          <w:i/>
          <w:iCs/>
        </w:rPr>
        <w:t xml:space="preserve"> intensity</w:t>
      </w:r>
      <w:r w:rsidRPr="002508EE">
        <w:t xml:space="preserve"> will increase in the future due to a hotter</w:t>
      </w:r>
      <w:r w:rsidR="00B02553">
        <w:t>,</w:t>
      </w:r>
      <w:r w:rsidR="00B02553" w:rsidRPr="002508EE">
        <w:t xml:space="preserve"> </w:t>
      </w:r>
      <w:r w:rsidRPr="002508EE">
        <w:t>more humid atmosphere</w:t>
      </w:r>
      <w:r w:rsidR="00454E12">
        <w:t>, wit</w:t>
      </w:r>
      <w:r w:rsidR="00481871">
        <w:t xml:space="preserve">h </w:t>
      </w:r>
      <w:r w:rsidR="00B02553">
        <w:t xml:space="preserve">model-based </w:t>
      </w:r>
      <w:r w:rsidR="00481871">
        <w:t xml:space="preserve">studies </w:t>
      </w:r>
      <w:r w:rsidR="006C269E">
        <w:t xml:space="preserve">projecting up to 5% increase </w:t>
      </w:r>
      <w:r w:rsidR="00995835">
        <w:t>for 2 degrees Celsius of warming</w:t>
      </w:r>
      <w:r w:rsidR="00B44541">
        <w:t>, increasing the proportion of category 4 and 5 storms observed in the North Atlantic</w:t>
      </w:r>
      <w:r w:rsidRPr="002508EE">
        <w:t xml:space="preserve">. This means that while there may not be a significant increase in TC events, those that do occur are likely to produce heavier rainfall and higher winds. </w:t>
      </w:r>
    </w:p>
    <w:p w14:paraId="318455B9" w14:textId="78BF790E" w:rsidR="00E6675A" w:rsidRDefault="00651E87" w:rsidP="00651E87">
      <w:pPr>
        <w:rPr>
          <w:rFonts w:hint="eastAsia"/>
        </w:rPr>
      </w:pPr>
      <w:r w:rsidRPr="002508EE">
        <w:t xml:space="preserve">Observed tropical cyclone tracks within roughly 150 miles of WestCOG communities can provide historical context of tropical cyclone frequency. </w:t>
      </w:r>
      <w:r w:rsidR="001D4F5E">
        <w:t>Maps</w:t>
      </w:r>
      <w:r w:rsidR="000052AC">
        <w:t xml:space="preserve"> of </w:t>
      </w:r>
      <w:r w:rsidR="00EF04AE">
        <w:t xml:space="preserve">historical </w:t>
      </w:r>
      <w:r w:rsidR="0007359E">
        <w:t xml:space="preserve">storm tracks </w:t>
      </w:r>
      <w:r w:rsidR="001F4FB9">
        <w:t xml:space="preserve">from </w:t>
      </w:r>
      <w:r w:rsidR="001F4FB9" w:rsidRPr="002508EE">
        <w:t>IBTrACS</w:t>
      </w:r>
      <w:r w:rsidR="00403B68">
        <w:t xml:space="preserve"> </w:t>
      </w:r>
      <w:r w:rsidR="00826A79">
        <w:t xml:space="preserve">and inundation extents are available in </w:t>
      </w:r>
      <w:r w:rsidR="00826A79" w:rsidRPr="00843358">
        <w:fldChar w:fldCharType="begin" w:fldLock="1"/>
      </w:r>
      <w:r w:rsidR="00826A79" w:rsidRPr="00843358">
        <w:instrText xml:space="preserve"> REF _Ref228512228 \h </w:instrText>
      </w:r>
      <w:r w:rsidR="005E43AE" w:rsidRPr="00843358">
        <w:instrText xml:space="preserve"> \* MERGEFORMAT </w:instrText>
      </w:r>
      <w:r w:rsidR="00826A79" w:rsidRPr="00843358">
        <w:fldChar w:fldCharType="separate"/>
      </w:r>
      <w:r w:rsidR="00AB64CB" w:rsidRPr="002508EE">
        <w:rPr>
          <w:rFonts w:eastAsia="Arial"/>
        </w:rPr>
        <w:t>Appendix A: Maps</w:t>
      </w:r>
      <w:r w:rsidR="00826A79" w:rsidRPr="00843358">
        <w:fldChar w:fldCharType="end"/>
      </w:r>
      <w:r w:rsidR="00826A79">
        <w:t>.</w:t>
      </w:r>
    </w:p>
    <w:p w14:paraId="6537F47C" w14:textId="77777777" w:rsidR="00651E87" w:rsidRPr="002508EE" w:rsidRDefault="00651E87" w:rsidP="00162924">
      <w:pPr>
        <w:pStyle w:val="Heading3"/>
        <w:rPr>
          <w:rFonts w:hint="eastAsia"/>
        </w:rPr>
      </w:pPr>
      <w:bookmarkStart w:id="18" w:name="_Toc233228203"/>
      <w:r w:rsidRPr="002508EE">
        <w:t>Mid-Latitude Cyclones</w:t>
      </w:r>
      <w:bookmarkEnd w:id="18"/>
    </w:p>
    <w:p w14:paraId="2EAB1CDA" w14:textId="77777777" w:rsidR="00651E87" w:rsidRPr="002508EE" w:rsidRDefault="00651E87" w:rsidP="00651E87">
      <w:pPr>
        <w:rPr>
          <w:rFonts w:hint="eastAsia"/>
        </w:rPr>
      </w:pPr>
      <w:r w:rsidRPr="002508EE">
        <w:t>Mid-Latitude Cyclones (MLCs) are also large-scale, rotating low-pressure systems that can produce strong winds, heavy precipitation, and coastal flooding over a widespread region. However, unlike tropical cyclones, MLCs typically occur from late fall through spring, so precipitation is often frozen as snow, freezing rain, or sleet, which can result in blizzard conditions. This adds an additional hazard of MLCs associated with freezing temperatures and extreme wind</w:t>
      </w:r>
      <w:r w:rsidR="00307B4A">
        <w:t xml:space="preserve"> </w:t>
      </w:r>
      <w:r w:rsidRPr="002508EE">
        <w:t xml:space="preserve">chill. Nor’easters, which are MLCs that track along the Atlantic Coast, comprise most of the Northeast’s extreme precipitation events. MLCs can include both continental and maritime low-pressure systems. </w:t>
      </w:r>
    </w:p>
    <w:p w14:paraId="52049D27" w14:textId="5EA47938" w:rsidR="00651E87" w:rsidRPr="002508EE" w:rsidRDefault="00651E87" w:rsidP="00651E87">
      <w:pPr>
        <w:rPr>
          <w:rFonts w:hint="eastAsia"/>
        </w:rPr>
      </w:pPr>
      <w:r w:rsidRPr="002508EE">
        <w:t>Over the last century, the number of cool-season MLC</w:t>
      </w:r>
      <w:r w:rsidR="00634542">
        <w:t xml:space="preserve"> event</w:t>
      </w:r>
      <w:r w:rsidRPr="002508EE">
        <w:t>s has decreased, though the intensity of rainfall associated with MLCs has increased. This dichotomous trend is anticipated to continue in the future, with increased intensity due to higher energy available from greater water vapor in storms</w:t>
      </w:r>
      <w:r w:rsidR="00FB0DDF">
        <w:t>,</w:t>
      </w:r>
      <w:r w:rsidRPr="002508EE">
        <w:t xml:space="preserve"> but decreased frequency of extreme events. Cyclone tracks are also trending northward as ocean temperatures rise, though the impact of these shifts on Connecticut is less clear. </w:t>
      </w:r>
    </w:p>
    <w:p w14:paraId="160DB2D8" w14:textId="77777777" w:rsidR="00651E87" w:rsidRPr="002508EE" w:rsidRDefault="00651E87" w:rsidP="00162924">
      <w:pPr>
        <w:pStyle w:val="Heading3"/>
        <w:rPr>
          <w:rFonts w:hint="eastAsia"/>
        </w:rPr>
      </w:pPr>
      <w:bookmarkStart w:id="19" w:name="_Toc233228204"/>
      <w:r w:rsidRPr="002508EE">
        <w:t>Severe Thunderstorms</w:t>
      </w:r>
      <w:bookmarkEnd w:id="19"/>
    </w:p>
    <w:p w14:paraId="4B5BE63B" w14:textId="6345E16B" w:rsidR="008139F3" w:rsidRDefault="00651E87" w:rsidP="002764DD">
      <w:pPr>
        <w:rPr>
          <w:rFonts w:hint="eastAsia"/>
        </w:rPr>
      </w:pPr>
      <w:r w:rsidRPr="002508EE">
        <w:t xml:space="preserve">Severe thunderstorms are smaller in scale than their larger cyclonic counterparts but can still </w:t>
      </w:r>
      <w:r w:rsidR="0021332E">
        <w:t>incur significant damage</w:t>
      </w:r>
      <w:r w:rsidRPr="002508EE">
        <w:t xml:space="preserve">. </w:t>
      </w:r>
      <w:r w:rsidR="0021332E">
        <w:t>I</w:t>
      </w:r>
      <w:r w:rsidR="001667FA">
        <w:t>mpacts</w:t>
      </w:r>
      <w:r w:rsidRPr="002508EE">
        <w:t xml:space="preserve"> </w:t>
      </w:r>
      <w:r w:rsidR="0021332E">
        <w:t>typically include high</w:t>
      </w:r>
      <w:r w:rsidR="0021332E" w:rsidRPr="002508EE">
        <w:t xml:space="preserve"> winds, straight-line or tornadic</w:t>
      </w:r>
      <w:r w:rsidR="0021332E">
        <w:t>, that can down trees and power lines</w:t>
      </w:r>
      <w:r w:rsidRPr="002508EE">
        <w:t>; high-intensity rainfall rates that produce runoff, especially in urban areas; large hail, which can damage crops, vehicles, and roofs</w:t>
      </w:r>
      <w:r w:rsidR="00981CA3">
        <w:t>; and lightning</w:t>
      </w:r>
      <w:r w:rsidR="00CB22B2">
        <w:t>,</w:t>
      </w:r>
      <w:r w:rsidR="00981CA3">
        <w:t xml:space="preserve"> which can damage </w:t>
      </w:r>
      <w:r w:rsidR="007178A7">
        <w:t>power infrast</w:t>
      </w:r>
      <w:r w:rsidR="00A710F0">
        <w:t>ruct</w:t>
      </w:r>
      <w:r w:rsidR="007178A7">
        <w:t>ure</w:t>
      </w:r>
      <w:r w:rsidR="00632BAF">
        <w:t xml:space="preserve"> and disrupt communication</w:t>
      </w:r>
      <w:r w:rsidRPr="002508EE">
        <w:t xml:space="preserve">. </w:t>
      </w:r>
      <w:r w:rsidR="0021332E" w:rsidRPr="002508EE">
        <w:t xml:space="preserve">Severe thunderstorms are most common from late spring through early fall, peaking in summer due to high humidity and solar heating, which provide the energy for convection. </w:t>
      </w:r>
      <w:r w:rsidRPr="002508EE">
        <w:t>Connecticut and New England experience significantly fewer</w:t>
      </w:r>
      <w:r w:rsidR="00FD32C1">
        <w:t xml:space="preserve"> severe thunderstorms and</w:t>
      </w:r>
      <w:r w:rsidRPr="002508EE">
        <w:t xml:space="preserve"> tornadoes than other parts of the country, such as the Southern and Central Plains. </w:t>
      </w:r>
      <w:r w:rsidR="00373AE6">
        <w:t>Annual probabilities of</w:t>
      </w:r>
      <w:r w:rsidR="003E3387">
        <w:t xml:space="preserve"> related</w:t>
      </w:r>
      <w:r w:rsidR="00373AE6">
        <w:t xml:space="preserve"> severe thunderstorm hazards from NOAA Storm Prediction Center (SPC) </w:t>
      </w:r>
      <w:r w:rsidR="0094266C">
        <w:t xml:space="preserve">are presented in </w:t>
      </w:r>
      <w:r w:rsidR="002764DD" w:rsidRPr="00843358">
        <w:fldChar w:fldCharType="begin" w:fldLock="1"/>
      </w:r>
      <w:r w:rsidR="002764DD" w:rsidRPr="00843358">
        <w:instrText xml:space="preserve"> REF _Ref228888065 \h </w:instrText>
      </w:r>
      <w:r w:rsidR="005E43AE" w:rsidRPr="00843358">
        <w:instrText xml:space="preserve"> \* MERGEFORMAT </w:instrText>
      </w:r>
      <w:r w:rsidR="002764DD" w:rsidRPr="00843358">
        <w:fldChar w:fldCharType="separate"/>
      </w:r>
      <w:r w:rsidR="00AB64CB">
        <w:t xml:space="preserve">Table </w:t>
      </w:r>
      <w:r w:rsidR="00AB64CB">
        <w:rPr>
          <w:noProof/>
        </w:rPr>
        <w:t>4</w:t>
      </w:r>
      <w:r w:rsidR="002764DD" w:rsidRPr="00843358">
        <w:fldChar w:fldCharType="end"/>
      </w:r>
      <w:r w:rsidR="002764DD" w:rsidRPr="00843358">
        <w:t>.</w:t>
      </w:r>
      <w:r w:rsidR="002764DD">
        <w:t xml:space="preserve"> </w:t>
      </w:r>
      <w:r w:rsidR="000E11D1">
        <w:t>H</w:t>
      </w:r>
      <w:r w:rsidRPr="002508EE">
        <w:t xml:space="preserve">istoric tornado tracks that have </w:t>
      </w:r>
      <w:r w:rsidR="00E81043">
        <w:t>crossed</w:t>
      </w:r>
      <w:r w:rsidRPr="002508EE">
        <w:t xml:space="preserve"> WestCOG</w:t>
      </w:r>
      <w:r w:rsidR="000E11D1">
        <w:t xml:space="preserve"> </w:t>
      </w:r>
      <w:r w:rsidR="00E81043">
        <w:t xml:space="preserve">geography </w:t>
      </w:r>
      <w:r w:rsidR="00890BD4">
        <w:t xml:space="preserve">are available in </w:t>
      </w:r>
      <w:r w:rsidR="00890BD4" w:rsidRPr="00843358">
        <w:fldChar w:fldCharType="begin" w:fldLock="1"/>
      </w:r>
      <w:r w:rsidR="00890BD4" w:rsidRPr="00843358">
        <w:instrText xml:space="preserve"> REF _Ref228512228 \h </w:instrText>
      </w:r>
      <w:r w:rsidR="005E43AE" w:rsidRPr="00843358">
        <w:instrText xml:space="preserve"> \* MERGEFORMAT </w:instrText>
      </w:r>
      <w:r w:rsidR="00890BD4" w:rsidRPr="00843358">
        <w:fldChar w:fldCharType="separate"/>
      </w:r>
      <w:r w:rsidR="00AB64CB" w:rsidRPr="002508EE">
        <w:rPr>
          <w:rFonts w:eastAsia="Arial"/>
        </w:rPr>
        <w:t>Appendix A: Maps</w:t>
      </w:r>
      <w:r w:rsidR="00890BD4" w:rsidRPr="00843358">
        <w:fldChar w:fldCharType="end"/>
      </w:r>
      <w:r w:rsidRPr="00843358">
        <w:t>.</w:t>
      </w:r>
      <w:r w:rsidRPr="002508EE">
        <w:t xml:space="preserve"> </w:t>
      </w:r>
      <w:proofErr w:type="gramStart"/>
      <w:r w:rsidRPr="002508EE">
        <w:t>Similar to</w:t>
      </w:r>
      <w:proofErr w:type="gramEnd"/>
      <w:r w:rsidRPr="002508EE">
        <w:t xml:space="preserve"> widespread precipitation trends, climate projections suggest that while the total number of thunderstorm days may not increase dramatically, the intensity of heavy rainfall is likely to increase due to higher surface temperatures and moisture levels, leading to greater instability. </w:t>
      </w:r>
    </w:p>
    <w:p w14:paraId="14E4FFA8" w14:textId="170E0C50" w:rsidR="002764DD" w:rsidRDefault="002764DD" w:rsidP="00734799">
      <w:pPr>
        <w:pStyle w:val="Caption"/>
        <w:keepNext/>
        <w:rPr>
          <w:rFonts w:hint="eastAsia"/>
        </w:rPr>
      </w:pPr>
      <w:bookmarkStart w:id="20" w:name="_Ref228888065"/>
      <w:bookmarkStart w:id="21" w:name="_Toc233227497"/>
      <w:r w:rsidRPr="00162924">
        <w:rPr>
          <w:rFonts w:hint="eastAsia"/>
          <w:b/>
          <w:bCs/>
        </w:rPr>
        <w:t xml:space="preserve">Table </w:t>
      </w:r>
      <w:r w:rsidRPr="00162924">
        <w:rPr>
          <w:b/>
          <w:bCs/>
        </w:rPr>
        <w:fldChar w:fldCharType="begin"/>
      </w:r>
      <w:r w:rsidRPr="00162924">
        <w:rPr>
          <w:rFonts w:hint="eastAsia"/>
          <w:b/>
          <w:bCs/>
        </w:rPr>
        <w:instrText xml:space="preserve"> SEQ Table \* ARABIC </w:instrText>
      </w:r>
      <w:r w:rsidRPr="00162924">
        <w:rPr>
          <w:b/>
          <w:bCs/>
        </w:rPr>
        <w:fldChar w:fldCharType="separate"/>
      </w:r>
      <w:r w:rsidR="00AB64CB" w:rsidRPr="00162924">
        <w:rPr>
          <w:rFonts w:hint="eastAsia"/>
          <w:b/>
          <w:bCs/>
          <w:noProof/>
        </w:rPr>
        <w:t>4</w:t>
      </w:r>
      <w:r w:rsidRPr="00162924">
        <w:rPr>
          <w:b/>
          <w:bCs/>
          <w:noProof/>
        </w:rPr>
        <w:fldChar w:fldCharType="end"/>
      </w:r>
      <w:bookmarkEnd w:id="20"/>
      <w:r w:rsidRPr="00162924">
        <w:rPr>
          <w:rFonts w:hint="eastAsia"/>
          <w:b/>
          <w:bCs/>
        </w:rPr>
        <w:t>.</w:t>
      </w:r>
      <w:r>
        <w:t xml:space="preserve"> </w:t>
      </w:r>
      <w:r w:rsidRPr="003B5804">
        <w:t>Hazard Climatology from NOAA Storm Prediction Center.</w:t>
      </w:r>
      <w:bookmarkEnd w:id="21"/>
      <w:r w:rsidRPr="003B5804">
        <w:t xml:space="preserve"> </w:t>
      </w:r>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5"/>
        <w:gridCol w:w="4405"/>
      </w:tblGrid>
      <w:tr w:rsidR="00CE52A1" w14:paraId="23E5096E" w14:textId="77777777" w:rsidTr="0016292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38ED847B" w14:textId="5DE760A2" w:rsidR="00CE52A1" w:rsidRDefault="00605ED5" w:rsidP="00734799">
            <w:pPr>
              <w:jc w:val="center"/>
              <w:rPr>
                <w:rFonts w:hint="eastAsia"/>
              </w:rPr>
            </w:pPr>
            <w:r>
              <w:t>Storm</w:t>
            </w:r>
            <w:r w:rsidR="000A58E6">
              <w:t xml:space="preserve"> Event</w:t>
            </w:r>
            <w:r>
              <w:t xml:space="preserve"> Scenario</w:t>
            </w:r>
          </w:p>
        </w:tc>
        <w:tc>
          <w:tcPr>
            <w:tcW w:w="4405" w:type="dxa"/>
            <w:vAlign w:val="center"/>
          </w:tcPr>
          <w:p w14:paraId="0B0041B2" w14:textId="7285ECB5" w:rsidR="00CE52A1" w:rsidRDefault="00605ED5" w:rsidP="00734799">
            <w:pPr>
              <w:jc w:val="center"/>
              <w:cnfStyle w:val="100000000000" w:firstRow="1" w:lastRow="0" w:firstColumn="0" w:lastColumn="0" w:oddVBand="0" w:evenVBand="0" w:oddHBand="0" w:evenHBand="0" w:firstRowFirstColumn="0" w:firstRowLastColumn="0" w:lastRowFirstColumn="0" w:lastRowLastColumn="0"/>
              <w:rPr>
                <w:rFonts w:hint="eastAsia"/>
              </w:rPr>
            </w:pPr>
            <w:r>
              <w:t>Annual Probability</w:t>
            </w:r>
          </w:p>
        </w:tc>
      </w:tr>
      <w:tr w:rsidR="00504FDC" w14:paraId="4D920223" w14:textId="77777777" w:rsidTr="00162924">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00E63192" w14:textId="167303C0" w:rsidR="00504FDC" w:rsidRDefault="00504FDC" w:rsidP="00651E87">
            <w:pPr>
              <w:rPr>
                <w:rFonts w:hint="eastAsia"/>
              </w:rPr>
            </w:pPr>
            <w:r>
              <w:t>Any tornado (1994-2024)</w:t>
            </w:r>
          </w:p>
        </w:tc>
        <w:tc>
          <w:tcPr>
            <w:tcW w:w="4405" w:type="dxa"/>
            <w:vAlign w:val="center"/>
          </w:tcPr>
          <w:p w14:paraId="1A085AD9" w14:textId="6A893559" w:rsidR="00504FDC" w:rsidRDefault="00504FDC" w:rsidP="00651E87">
            <w:pPr>
              <w:cnfStyle w:val="000000100000" w:firstRow="0" w:lastRow="0" w:firstColumn="0" w:lastColumn="0" w:oddVBand="0" w:evenVBand="0" w:oddHBand="1" w:evenHBand="0" w:firstRowFirstColumn="0" w:firstRowLastColumn="0" w:lastRowFirstColumn="0" w:lastRowLastColumn="0"/>
              <w:rPr>
                <w:rFonts w:hint="eastAsia"/>
              </w:rPr>
            </w:pPr>
            <w:r>
              <w:t xml:space="preserve">45.16 – 61.29%; higher </w:t>
            </w:r>
            <w:r w:rsidR="001E2F3C">
              <w:t>probability inland</w:t>
            </w:r>
          </w:p>
        </w:tc>
      </w:tr>
      <w:tr w:rsidR="00504FDC" w14:paraId="6434360D" w14:textId="77777777" w:rsidTr="00162924">
        <w:trPr>
          <w:trHeight w:val="53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7568CCBE" w14:textId="6AF68C54" w:rsidR="00504FDC" w:rsidRDefault="001E2F3C" w:rsidP="00651E87">
            <w:pPr>
              <w:rPr>
                <w:rFonts w:hint="eastAsia"/>
              </w:rPr>
            </w:pPr>
            <w:r>
              <w:t>EF1+ tornado (1994-2024)</w:t>
            </w:r>
          </w:p>
        </w:tc>
        <w:tc>
          <w:tcPr>
            <w:tcW w:w="4405" w:type="dxa"/>
            <w:vAlign w:val="center"/>
          </w:tcPr>
          <w:p w14:paraId="50839D3E" w14:textId="09BE66BA" w:rsidR="00504FDC" w:rsidRDefault="001E2F3C" w:rsidP="00651E87">
            <w:pPr>
              <w:cnfStyle w:val="000000000000" w:firstRow="0" w:lastRow="0" w:firstColumn="0" w:lastColumn="0" w:oddVBand="0" w:evenVBand="0" w:oddHBand="0" w:evenHBand="0" w:firstRowFirstColumn="0" w:firstRowLastColumn="0" w:lastRowFirstColumn="0" w:lastRowLastColumn="0"/>
              <w:rPr>
                <w:rFonts w:hint="eastAsia"/>
              </w:rPr>
            </w:pPr>
            <w:r>
              <w:t>32.26-41.94%; higher probability inland</w:t>
            </w:r>
          </w:p>
        </w:tc>
      </w:tr>
      <w:tr w:rsidR="00504FDC" w14:paraId="4CDE1DF0" w14:textId="77777777" w:rsidTr="00162924">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420A8B75" w14:textId="0F7275F1" w:rsidR="00504FDC" w:rsidRDefault="001E2F3C" w:rsidP="00651E87">
            <w:pPr>
              <w:rPr>
                <w:rFonts w:hint="eastAsia"/>
              </w:rPr>
            </w:pPr>
            <w:r>
              <w:t>EF2+ tornado (1994-2024)</w:t>
            </w:r>
          </w:p>
        </w:tc>
        <w:tc>
          <w:tcPr>
            <w:tcW w:w="4405" w:type="dxa"/>
            <w:vAlign w:val="center"/>
          </w:tcPr>
          <w:p w14:paraId="2994CF36" w14:textId="1FC6084E" w:rsidR="00504FDC" w:rsidRDefault="001E2F3C" w:rsidP="00651E87">
            <w:pPr>
              <w:cnfStyle w:val="000000100000" w:firstRow="0" w:lastRow="0" w:firstColumn="0" w:lastColumn="0" w:oddVBand="0" w:evenVBand="0" w:oddHBand="1" w:evenHBand="0" w:firstRowFirstColumn="0" w:firstRowLastColumn="0" w:lastRowFirstColumn="0" w:lastRowLastColumn="0"/>
              <w:rPr>
                <w:rFonts w:hint="eastAsia"/>
              </w:rPr>
            </w:pPr>
            <w:r>
              <w:t xml:space="preserve">12.9-9.68%; higher </w:t>
            </w:r>
            <w:r w:rsidR="003E2F75">
              <w:t xml:space="preserve">probability along </w:t>
            </w:r>
            <w:r w:rsidR="00BA665E">
              <w:t xml:space="preserve">the </w:t>
            </w:r>
            <w:r w:rsidR="003E2F75">
              <w:t>coast</w:t>
            </w:r>
          </w:p>
        </w:tc>
      </w:tr>
      <w:tr w:rsidR="00504FDC" w14:paraId="4C7F183F" w14:textId="77777777" w:rsidTr="00162924">
        <w:trPr>
          <w:trHeight w:val="53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002F596E" w14:textId="3523691B" w:rsidR="00504FDC" w:rsidRDefault="000A58E6" w:rsidP="00651E87">
            <w:pPr>
              <w:rPr>
                <w:rFonts w:hint="eastAsia"/>
              </w:rPr>
            </w:pPr>
            <w:r>
              <w:t>S</w:t>
            </w:r>
            <w:r w:rsidR="003E2F75">
              <w:t>evere thunderstorm-wind</w:t>
            </w:r>
            <w:r w:rsidR="00BE30C6">
              <w:t xml:space="preserve"> (1955-2024)</w:t>
            </w:r>
          </w:p>
        </w:tc>
        <w:tc>
          <w:tcPr>
            <w:tcW w:w="4405" w:type="dxa"/>
            <w:vAlign w:val="center"/>
          </w:tcPr>
          <w:p w14:paraId="33869140" w14:textId="13FABC3E" w:rsidR="00504FDC" w:rsidRDefault="002F7ADE" w:rsidP="00651E87">
            <w:pPr>
              <w:cnfStyle w:val="000000000000" w:firstRow="0" w:lastRow="0" w:firstColumn="0" w:lastColumn="0" w:oddVBand="0" w:evenVBand="0" w:oddHBand="0" w:evenHBand="0" w:firstRowFirstColumn="0" w:firstRowLastColumn="0" w:lastRowFirstColumn="0" w:lastRowLastColumn="0"/>
              <w:rPr>
                <w:rFonts w:hint="eastAsia"/>
              </w:rPr>
            </w:pPr>
            <w:r>
              <w:t>74.29</w:t>
            </w:r>
            <w:r w:rsidR="005F5880">
              <w:t xml:space="preserve"> </w:t>
            </w:r>
            <w:r w:rsidR="0042017E">
              <w:t>–</w:t>
            </w:r>
            <w:r w:rsidR="005F5880">
              <w:t xml:space="preserve"> </w:t>
            </w:r>
            <w:r w:rsidR="0042017E">
              <w:t>87.14</w:t>
            </w:r>
            <w:r w:rsidR="00BE30C6">
              <w:t>%</w:t>
            </w:r>
            <w:r w:rsidR="0042017E">
              <w:t>; higher probability inland</w:t>
            </w:r>
          </w:p>
        </w:tc>
      </w:tr>
      <w:tr w:rsidR="00504FDC" w14:paraId="38AEC53E" w14:textId="77777777" w:rsidTr="00162924">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42D20280" w14:textId="2A840062" w:rsidR="00504FDC" w:rsidRDefault="00BE30C6" w:rsidP="00651E87">
            <w:pPr>
              <w:rPr>
                <w:rFonts w:hint="eastAsia"/>
              </w:rPr>
            </w:pPr>
            <w:r>
              <w:t>60+ mph wind</w:t>
            </w:r>
            <w:r w:rsidR="005F5880">
              <w:t xml:space="preserve"> (1955-2024)</w:t>
            </w:r>
            <w:r>
              <w:t xml:space="preserve"> </w:t>
            </w:r>
          </w:p>
        </w:tc>
        <w:tc>
          <w:tcPr>
            <w:tcW w:w="4405" w:type="dxa"/>
            <w:vAlign w:val="center"/>
          </w:tcPr>
          <w:p w14:paraId="0DB6CBA2" w14:textId="075D64DA" w:rsidR="00504FDC" w:rsidRDefault="005F5880" w:rsidP="00651E87">
            <w:pPr>
              <w:cnfStyle w:val="000000100000" w:firstRow="0" w:lastRow="0" w:firstColumn="0" w:lastColumn="0" w:oddVBand="0" w:evenVBand="0" w:oddHBand="1" w:evenHBand="0" w:firstRowFirstColumn="0" w:firstRowLastColumn="0" w:lastRowFirstColumn="0" w:lastRowLastColumn="0"/>
              <w:rPr>
                <w:rFonts w:hint="eastAsia"/>
              </w:rPr>
            </w:pPr>
            <w:r>
              <w:t>57.14%</w:t>
            </w:r>
          </w:p>
        </w:tc>
      </w:tr>
      <w:tr w:rsidR="005F5880" w14:paraId="635A0AB3" w14:textId="77777777" w:rsidTr="00162924">
        <w:trPr>
          <w:trHeight w:val="44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5BE76AC6" w14:textId="250F85B2" w:rsidR="005F5880" w:rsidRDefault="005F5880" w:rsidP="00651E87">
            <w:pPr>
              <w:rPr>
                <w:rFonts w:hint="eastAsia"/>
              </w:rPr>
            </w:pPr>
            <w:r>
              <w:t>74+ mph wind (1955-2024)</w:t>
            </w:r>
          </w:p>
        </w:tc>
        <w:tc>
          <w:tcPr>
            <w:tcW w:w="4405" w:type="dxa"/>
            <w:vAlign w:val="center"/>
          </w:tcPr>
          <w:p w14:paraId="57F81568" w14:textId="0AD41EE8" w:rsidR="005F5880" w:rsidRDefault="005F5880" w:rsidP="00651E87">
            <w:pPr>
              <w:cnfStyle w:val="000000000000" w:firstRow="0" w:lastRow="0" w:firstColumn="0" w:lastColumn="0" w:oddVBand="0" w:evenVBand="0" w:oddHBand="0" w:evenHBand="0" w:firstRowFirstColumn="0" w:firstRowLastColumn="0" w:lastRowFirstColumn="0" w:lastRowLastColumn="0"/>
              <w:rPr>
                <w:rFonts w:hint="eastAsia"/>
              </w:rPr>
            </w:pPr>
            <w:r>
              <w:t>38.71%</w:t>
            </w:r>
          </w:p>
        </w:tc>
      </w:tr>
      <w:tr w:rsidR="005F5880" w14:paraId="575E5660" w14:textId="77777777" w:rsidTr="00162924">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28E0A2E8" w14:textId="0B2FB8A2" w:rsidR="005F5880" w:rsidRDefault="00761522" w:rsidP="00651E87">
            <w:pPr>
              <w:rPr>
                <w:rFonts w:hint="eastAsia"/>
              </w:rPr>
            </w:pPr>
            <w:r>
              <w:t>D</w:t>
            </w:r>
            <w:r w:rsidR="005F5880">
              <w:t xml:space="preserve">ays per Year with </w:t>
            </w:r>
            <w:r w:rsidR="005F5880" w:rsidRPr="007E197F">
              <w:t>≥ 1 C</w:t>
            </w:r>
            <w:r w:rsidR="005F5880">
              <w:t xml:space="preserve">loud to </w:t>
            </w:r>
            <w:r w:rsidR="005F5880" w:rsidRPr="007E197F">
              <w:t>G</w:t>
            </w:r>
            <w:r w:rsidR="005F5880">
              <w:t>round</w:t>
            </w:r>
            <w:r w:rsidR="005F5880" w:rsidRPr="007E197F">
              <w:t xml:space="preserve"> </w:t>
            </w:r>
            <w:r w:rsidR="00EB52A7">
              <w:br/>
            </w:r>
            <w:r w:rsidR="005F5880" w:rsidRPr="007E197F">
              <w:t>Flash/Hour</w:t>
            </w:r>
            <w:r w:rsidR="005F5880">
              <w:t xml:space="preserve"> (1995-2024)</w:t>
            </w:r>
          </w:p>
        </w:tc>
        <w:tc>
          <w:tcPr>
            <w:tcW w:w="4405" w:type="dxa"/>
            <w:vAlign w:val="center"/>
          </w:tcPr>
          <w:p w14:paraId="4CD66144" w14:textId="07FC522E" w:rsidR="005F5880" w:rsidRDefault="005F5880" w:rsidP="00651E87">
            <w:pPr>
              <w:cnfStyle w:val="000000100000" w:firstRow="0" w:lastRow="0" w:firstColumn="0" w:lastColumn="0" w:oddVBand="0" w:evenVBand="0" w:oddHBand="1" w:evenHBand="0" w:firstRowFirstColumn="0" w:firstRowLastColumn="0" w:lastRowFirstColumn="0" w:lastRowLastColumn="0"/>
              <w:rPr>
                <w:rFonts w:hint="eastAsia"/>
              </w:rPr>
            </w:pPr>
            <w:r>
              <w:t>9.55%</w:t>
            </w:r>
          </w:p>
        </w:tc>
      </w:tr>
      <w:tr w:rsidR="005F5880" w14:paraId="5310B4A6" w14:textId="77777777" w:rsidTr="00162924">
        <w:trPr>
          <w:trHeight w:val="503"/>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0226FC87" w14:textId="1E0E3511" w:rsidR="005F5880" w:rsidRDefault="00456D41" w:rsidP="00651E87">
            <w:pPr>
              <w:rPr>
                <w:rFonts w:hint="eastAsia"/>
              </w:rPr>
            </w:pPr>
            <w:r>
              <w:t>H</w:t>
            </w:r>
            <w:r w:rsidR="005F5880">
              <w:t xml:space="preserve">ail </w:t>
            </w:r>
            <w:r w:rsidR="005F5880" w:rsidRPr="007E197F">
              <w:t>≥</w:t>
            </w:r>
            <w:r w:rsidR="005F5880">
              <w:t xml:space="preserve"> 0.5 inches (1955-2024) </w:t>
            </w:r>
          </w:p>
        </w:tc>
        <w:tc>
          <w:tcPr>
            <w:tcW w:w="4405" w:type="dxa"/>
            <w:vAlign w:val="center"/>
          </w:tcPr>
          <w:p w14:paraId="2CB26670" w14:textId="605B42F2" w:rsidR="005F5880" w:rsidRDefault="005F5880" w:rsidP="00651E87">
            <w:pPr>
              <w:cnfStyle w:val="000000000000" w:firstRow="0" w:lastRow="0" w:firstColumn="0" w:lastColumn="0" w:oddVBand="0" w:evenVBand="0" w:oddHBand="0" w:evenHBand="0" w:firstRowFirstColumn="0" w:firstRowLastColumn="0" w:lastRowFirstColumn="0" w:lastRowLastColumn="0"/>
              <w:rPr>
                <w:rFonts w:hint="eastAsia"/>
              </w:rPr>
            </w:pPr>
            <w:r>
              <w:t>61.43 – 70</w:t>
            </w:r>
            <w:r w:rsidR="009A746A">
              <w:t>.0</w:t>
            </w:r>
            <w:r>
              <w:t>%</w:t>
            </w:r>
            <w:r w:rsidR="009A746A">
              <w:t xml:space="preserve"> (higher inland)</w:t>
            </w:r>
          </w:p>
        </w:tc>
      </w:tr>
      <w:tr w:rsidR="009A746A" w14:paraId="6CAAFB48" w14:textId="77777777" w:rsidTr="00162924">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03A312DC" w14:textId="5585EA80" w:rsidR="009A746A" w:rsidRDefault="00456D41" w:rsidP="00651E87">
            <w:pPr>
              <w:rPr>
                <w:rFonts w:hint="eastAsia"/>
              </w:rPr>
            </w:pPr>
            <w:r>
              <w:t>H</w:t>
            </w:r>
            <w:r w:rsidR="009A746A">
              <w:t xml:space="preserve">ail </w:t>
            </w:r>
            <w:r w:rsidR="009A746A" w:rsidRPr="007E197F">
              <w:t>≥</w:t>
            </w:r>
            <w:r w:rsidR="009A746A">
              <w:t xml:space="preserve"> 1.0 inches (1955-2024)</w:t>
            </w:r>
          </w:p>
        </w:tc>
        <w:tc>
          <w:tcPr>
            <w:tcW w:w="4405" w:type="dxa"/>
            <w:vAlign w:val="center"/>
          </w:tcPr>
          <w:p w14:paraId="2217231E" w14:textId="173C0391" w:rsidR="009A746A" w:rsidRDefault="009A746A" w:rsidP="00651E87">
            <w:pPr>
              <w:cnfStyle w:val="000000100000" w:firstRow="0" w:lastRow="0" w:firstColumn="0" w:lastColumn="0" w:oddVBand="0" w:evenVBand="0" w:oddHBand="1" w:evenHBand="0" w:firstRowFirstColumn="0" w:firstRowLastColumn="0" w:lastRowFirstColumn="0" w:lastRowLastColumn="0"/>
              <w:rPr>
                <w:rFonts w:hint="eastAsia"/>
              </w:rPr>
            </w:pPr>
            <w:r>
              <w:t>47.14 – 52.86% (higher inland)</w:t>
            </w:r>
          </w:p>
        </w:tc>
      </w:tr>
      <w:tr w:rsidR="009A746A" w14:paraId="6E72060E" w14:textId="77777777" w:rsidTr="00162924">
        <w:trPr>
          <w:trHeight w:val="44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07A46BC4" w14:textId="0D821D4D" w:rsidR="009A746A" w:rsidRDefault="00456D41" w:rsidP="00651E87">
            <w:pPr>
              <w:rPr>
                <w:rFonts w:hint="eastAsia"/>
              </w:rPr>
            </w:pPr>
            <w:r>
              <w:t>H</w:t>
            </w:r>
            <w:r w:rsidR="009A746A">
              <w:t xml:space="preserve">ail </w:t>
            </w:r>
            <w:r w:rsidR="009A746A" w:rsidRPr="007E197F">
              <w:t>≥</w:t>
            </w:r>
            <w:r w:rsidR="009A746A">
              <w:t xml:space="preserve"> 1.5 inches (1955-2024)</w:t>
            </w:r>
          </w:p>
        </w:tc>
        <w:tc>
          <w:tcPr>
            <w:tcW w:w="4405" w:type="dxa"/>
            <w:vAlign w:val="center"/>
          </w:tcPr>
          <w:p w14:paraId="49C6E5FD" w14:textId="0F98073B" w:rsidR="009A746A" w:rsidRDefault="009A746A" w:rsidP="00651E87">
            <w:pPr>
              <w:cnfStyle w:val="000000000000" w:firstRow="0" w:lastRow="0" w:firstColumn="0" w:lastColumn="0" w:oddVBand="0" w:evenVBand="0" w:oddHBand="0" w:evenHBand="0" w:firstRowFirstColumn="0" w:firstRowLastColumn="0" w:lastRowFirstColumn="0" w:lastRowLastColumn="0"/>
              <w:rPr>
                <w:rFonts w:hint="eastAsia"/>
              </w:rPr>
            </w:pPr>
            <w:r>
              <w:t>18.57 - 37.51% (higher inland)</w:t>
            </w:r>
          </w:p>
        </w:tc>
      </w:tr>
      <w:tr w:rsidR="009A746A" w14:paraId="1683B55C" w14:textId="77777777" w:rsidTr="00162924">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24185FE1" w14:textId="58108C85" w:rsidR="009A746A" w:rsidRDefault="00456D41" w:rsidP="00651E87">
            <w:pPr>
              <w:rPr>
                <w:rFonts w:hint="eastAsia"/>
              </w:rPr>
            </w:pPr>
            <w:r>
              <w:t>Ha</w:t>
            </w:r>
            <w:r w:rsidR="009A746A">
              <w:t xml:space="preserve">il </w:t>
            </w:r>
            <w:r w:rsidR="009A746A" w:rsidRPr="007E197F">
              <w:t>≥</w:t>
            </w:r>
            <w:r w:rsidR="009A746A">
              <w:t xml:space="preserve"> 2.0 inches (1955-2024)</w:t>
            </w:r>
          </w:p>
        </w:tc>
        <w:tc>
          <w:tcPr>
            <w:tcW w:w="4405" w:type="dxa"/>
            <w:vAlign w:val="center"/>
          </w:tcPr>
          <w:p w14:paraId="5622F7A7" w14:textId="1C753CAF" w:rsidR="009A746A" w:rsidRDefault="009A746A" w:rsidP="00651E87">
            <w:pPr>
              <w:cnfStyle w:val="000000100000" w:firstRow="0" w:lastRow="0" w:firstColumn="0" w:lastColumn="0" w:oddVBand="0" w:evenVBand="0" w:oddHBand="1" w:evenHBand="0" w:firstRowFirstColumn="0" w:firstRowLastColumn="0" w:lastRowFirstColumn="0" w:lastRowLastColumn="0"/>
              <w:rPr>
                <w:rFonts w:hint="eastAsia"/>
              </w:rPr>
            </w:pPr>
            <w:r>
              <w:t>1.43 – 14.29% (higher inland)</w:t>
            </w:r>
          </w:p>
        </w:tc>
      </w:tr>
      <w:tr w:rsidR="009A746A" w14:paraId="6F15689B" w14:textId="77777777" w:rsidTr="00162924">
        <w:trPr>
          <w:trHeight w:val="440"/>
        </w:trPr>
        <w:tc>
          <w:tcPr>
            <w:cnfStyle w:val="001000000000" w:firstRow="0" w:lastRow="0" w:firstColumn="1" w:lastColumn="0" w:oddVBand="0" w:evenVBand="0" w:oddHBand="0" w:evenHBand="0" w:firstRowFirstColumn="0" w:firstRowLastColumn="0" w:lastRowFirstColumn="0" w:lastRowLastColumn="0"/>
            <w:tcW w:w="4945" w:type="dxa"/>
            <w:vAlign w:val="center"/>
          </w:tcPr>
          <w:p w14:paraId="49098EEA" w14:textId="24FC9915" w:rsidR="009A746A" w:rsidRDefault="00456D41" w:rsidP="009A746A">
            <w:pPr>
              <w:rPr>
                <w:rFonts w:hint="eastAsia"/>
              </w:rPr>
            </w:pPr>
            <w:r>
              <w:t>H</w:t>
            </w:r>
            <w:r w:rsidR="009A746A" w:rsidRPr="00F946E8">
              <w:t xml:space="preserve">ail ≥ </w:t>
            </w:r>
            <w:r w:rsidR="009A746A">
              <w:t>3.0</w:t>
            </w:r>
            <w:r w:rsidR="009A746A" w:rsidRPr="00F946E8">
              <w:t xml:space="preserve"> inches (1955-2024) </w:t>
            </w:r>
          </w:p>
        </w:tc>
        <w:tc>
          <w:tcPr>
            <w:tcW w:w="4405" w:type="dxa"/>
            <w:vAlign w:val="center"/>
          </w:tcPr>
          <w:p w14:paraId="0EBC765C" w14:textId="080D3E27" w:rsidR="009A746A" w:rsidRDefault="009A746A" w:rsidP="009A746A">
            <w:pPr>
              <w:cnfStyle w:val="000000000000" w:firstRow="0" w:lastRow="0" w:firstColumn="0" w:lastColumn="0" w:oddVBand="0" w:evenVBand="0" w:oddHBand="0" w:evenHBand="0" w:firstRowFirstColumn="0" w:firstRowLastColumn="0" w:lastRowFirstColumn="0" w:lastRowLastColumn="0"/>
              <w:rPr>
                <w:rFonts w:hint="eastAsia"/>
              </w:rPr>
            </w:pPr>
            <w:r>
              <w:t>0 – 2.86% (higher inland)</w:t>
            </w:r>
            <w:r w:rsidRPr="00F946E8">
              <w:t xml:space="preserve"> </w:t>
            </w:r>
          </w:p>
        </w:tc>
      </w:tr>
    </w:tbl>
    <w:p w14:paraId="6C52E231" w14:textId="53CC5956" w:rsidR="00565242" w:rsidRPr="0064643B" w:rsidRDefault="0064643B" w:rsidP="00651E87">
      <w:pPr>
        <w:rPr>
          <w:rFonts w:hint="eastAsia"/>
          <w:color w:val="595959" w:themeColor="text1" w:themeTint="A6"/>
          <w:sz w:val="18"/>
          <w:szCs w:val="18"/>
        </w:rPr>
      </w:pPr>
      <w:r w:rsidRPr="0064643B">
        <w:rPr>
          <w:color w:val="595959" w:themeColor="text1" w:themeTint="A6"/>
          <w:sz w:val="18"/>
          <w:szCs w:val="18"/>
        </w:rPr>
        <w:t>Tornado probability derived from 1994-2024 data; wind probability derived from 1955-2024 data; lighting data derived from data 1995-2024 data; hail probability derived from 1955-</w:t>
      </w:r>
      <w:r w:rsidRPr="0064643B">
        <w:rPr>
          <w:noProof/>
          <w:color w:val="595959" w:themeColor="text1" w:themeTint="A6"/>
          <w:sz w:val="18"/>
          <w:szCs w:val="18"/>
        </w:rPr>
        <w:t>2024 data.</w:t>
      </w:r>
    </w:p>
    <w:p w14:paraId="4A9D4A29" w14:textId="77777777" w:rsidR="00250420" w:rsidRPr="002508EE" w:rsidRDefault="00250420" w:rsidP="00734799">
      <w:pPr>
        <w:pStyle w:val="Heading2"/>
        <w:rPr>
          <w:rFonts w:hint="eastAsia"/>
        </w:rPr>
      </w:pPr>
      <w:bookmarkStart w:id="22" w:name="_Toc233228205"/>
      <w:r>
        <w:t xml:space="preserve">High </w:t>
      </w:r>
      <w:r w:rsidRPr="002508EE">
        <w:t>Wind</w:t>
      </w:r>
      <w:r>
        <w:t>s</w:t>
      </w:r>
      <w:bookmarkEnd w:id="22"/>
    </w:p>
    <w:p w14:paraId="28B1D0A7" w14:textId="42D3700C" w:rsidR="006A14BA" w:rsidRDefault="00EC13AE" w:rsidP="00651E87">
      <w:pPr>
        <w:rPr>
          <w:rFonts w:hint="eastAsia"/>
        </w:rPr>
      </w:pPr>
      <w:r>
        <w:t xml:space="preserve">Each </w:t>
      </w:r>
      <w:r w:rsidR="00965EBD">
        <w:t>storm type above can be associated with high winds</w:t>
      </w:r>
      <w:r w:rsidR="00B6230A">
        <w:t xml:space="preserve"> </w:t>
      </w:r>
      <w:r w:rsidR="00BB22B4">
        <w:t>accompanying heavy rainfall</w:t>
      </w:r>
      <w:r w:rsidR="004D7620">
        <w:t>.</w:t>
      </w:r>
      <w:r w:rsidR="00BA22A9">
        <w:t xml:space="preserve"> </w:t>
      </w:r>
      <w:r w:rsidR="00BB22B4">
        <w:t>However, h</w:t>
      </w:r>
      <w:r w:rsidR="00BA576C">
        <w:t>igh wind events can also be</w:t>
      </w:r>
      <w:r w:rsidR="00BB22B4">
        <w:t xml:space="preserve"> “dry” events,</w:t>
      </w:r>
      <w:r w:rsidR="00BA576C">
        <w:t xml:space="preserve"> associated with </w:t>
      </w:r>
      <w:r w:rsidR="00BB22B4">
        <w:t xml:space="preserve">strong atmospheric pressure gradients. </w:t>
      </w:r>
      <w:r w:rsidR="00C43B46">
        <w:t xml:space="preserve">Wind blows from areas of high pressure to low pressure, </w:t>
      </w:r>
      <w:r w:rsidR="00035B63">
        <w:t xml:space="preserve">such as between two weather systems or a strong frontal boundary. </w:t>
      </w:r>
      <w:r w:rsidR="00E60EF4">
        <w:t>As the pressure gradient tightens</w:t>
      </w:r>
      <w:r w:rsidR="006458B4">
        <w:t>, wind speed increases</w:t>
      </w:r>
      <w:r w:rsidR="008D64C1">
        <w:t xml:space="preserve"> over a widespread area</w:t>
      </w:r>
      <w:r w:rsidR="006458B4">
        <w:t>.</w:t>
      </w:r>
      <w:r w:rsidR="00C32CC6">
        <w:t xml:space="preserve"> High wind events like this are most common in the spring</w:t>
      </w:r>
      <w:r w:rsidR="006A14BA">
        <w:t xml:space="preserve">, with strong pressure gradients developing between cold, continental airmasses over Canada and the warmer Atlantic, as well as </w:t>
      </w:r>
      <w:r w:rsidR="00B9552A">
        <w:t xml:space="preserve">the </w:t>
      </w:r>
      <w:r w:rsidR="006A14BA">
        <w:t>favorable position of the jet stream. Gusty</w:t>
      </w:r>
      <w:r w:rsidR="00F40392">
        <w:t xml:space="preserve"> outflows from </w:t>
      </w:r>
      <w:r w:rsidR="006A14BA">
        <w:t xml:space="preserve">summer </w:t>
      </w:r>
      <w:r w:rsidR="00F40392">
        <w:t>thunderstorms can also produce</w:t>
      </w:r>
      <w:r w:rsidR="007A21A8">
        <w:t xml:space="preserve"> localized</w:t>
      </w:r>
      <w:r w:rsidR="00F40392">
        <w:t xml:space="preserve"> high winds </w:t>
      </w:r>
      <w:r w:rsidR="007A21A8">
        <w:t xml:space="preserve">when thunderstorms are nearby but not directly impacting an area. </w:t>
      </w:r>
    </w:p>
    <w:p w14:paraId="19969C82" w14:textId="6FC9B857" w:rsidR="00D04FC3" w:rsidRDefault="00D04FC3" w:rsidP="00651E87">
      <w:pPr>
        <w:rPr>
          <w:rFonts w:hint="eastAsia"/>
        </w:rPr>
      </w:pPr>
      <w:r>
        <w:t xml:space="preserve">When high wind events are </w:t>
      </w:r>
      <w:r w:rsidR="006523AC">
        <w:t xml:space="preserve">associated with otherwise dry conditions, </w:t>
      </w:r>
      <w:r w:rsidR="00B6327B">
        <w:t>fire risk increases</w:t>
      </w:r>
      <w:r w:rsidR="001B1CCB">
        <w:t xml:space="preserve">. Low humidity and high winds can cause brush or forest fires to </w:t>
      </w:r>
      <w:r w:rsidR="009C396A">
        <w:t xml:space="preserve">spread rapidly. </w:t>
      </w:r>
    </w:p>
    <w:p w14:paraId="74AA156A" w14:textId="47950CB4" w:rsidR="006F6D0D" w:rsidRDefault="006F6D0D" w:rsidP="00734799">
      <w:pPr>
        <w:pStyle w:val="Heading2"/>
        <w:rPr>
          <w:rFonts w:hint="eastAsia"/>
        </w:rPr>
      </w:pPr>
      <w:bookmarkStart w:id="23" w:name="_Toc233228206"/>
      <w:r>
        <w:t xml:space="preserve">Key Planning </w:t>
      </w:r>
      <w:r w:rsidR="00F654EE">
        <w:t>Information</w:t>
      </w:r>
      <w:r>
        <w:t xml:space="preserve"> for Extreme Storms</w:t>
      </w:r>
      <w:bookmarkEnd w:id="23"/>
    </w:p>
    <w:p w14:paraId="1304ABF7" w14:textId="1CD765AC" w:rsidR="00A83F53" w:rsidRDefault="00DF79F5" w:rsidP="001F4FB9">
      <w:pPr>
        <w:rPr>
          <w:rFonts w:hint="eastAsia"/>
        </w:rPr>
      </w:pPr>
      <w:r>
        <w:t>Planning for</w:t>
      </w:r>
      <w:r w:rsidRPr="002508EE">
        <w:t xml:space="preserve"> current and future vulnerabilities to </w:t>
      </w:r>
      <w:r>
        <w:t>extreme storm</w:t>
      </w:r>
      <w:r w:rsidRPr="002508EE">
        <w:t xml:space="preserve"> impacts</w:t>
      </w:r>
      <w:r>
        <w:t xml:space="preserve"> is key to comprehensive community resilience. </w:t>
      </w:r>
      <w:r w:rsidR="00307B4A">
        <w:t>While</w:t>
      </w:r>
      <w:r w:rsidR="00307B4A" w:rsidRPr="002508EE">
        <w:t xml:space="preserve"> </w:t>
      </w:r>
      <w:r w:rsidR="00C5112F">
        <w:t xml:space="preserve">the region’s </w:t>
      </w:r>
      <w:r w:rsidR="00AE6AE4">
        <w:t xml:space="preserve">already frequent </w:t>
      </w:r>
      <w:r w:rsidR="00C5112F">
        <w:t>extreme storm events may not increase significantly</w:t>
      </w:r>
      <w:r w:rsidR="009125C3">
        <w:t xml:space="preserve">, </w:t>
      </w:r>
      <w:r w:rsidR="00307B4A" w:rsidRPr="002508EE">
        <w:t>those that do occur are likely to produce heavier rainfall</w:t>
      </w:r>
      <w:r w:rsidR="00123A4A">
        <w:t>, stronger winds, and greater impacts</w:t>
      </w:r>
      <w:r w:rsidR="00307B4A">
        <w:t xml:space="preserve">. </w:t>
      </w:r>
    </w:p>
    <w:p w14:paraId="5AEF3223" w14:textId="45801483" w:rsidR="00B9552A" w:rsidRDefault="00597A9B" w:rsidP="00162924">
      <w:pPr>
        <w:pStyle w:val="ListParagraph"/>
        <w:numPr>
          <w:ilvl w:val="0"/>
          <w:numId w:val="100"/>
        </w:numPr>
        <w:rPr>
          <w:rFonts w:hint="eastAsia"/>
        </w:rPr>
      </w:pPr>
      <w:r>
        <w:t xml:space="preserve">On average, </w:t>
      </w:r>
      <w:r w:rsidR="00F87F53">
        <w:t>a</w:t>
      </w:r>
      <w:r>
        <w:t xml:space="preserve"> tropica</w:t>
      </w:r>
      <w:r w:rsidR="00F87F53">
        <w:t xml:space="preserve">l cyclone impacts WestCOG </w:t>
      </w:r>
      <w:r w:rsidR="000749A9">
        <w:t xml:space="preserve">once </w:t>
      </w:r>
      <w:r w:rsidR="00F87F53">
        <w:t>every 1.5 years</w:t>
      </w:r>
      <w:r w:rsidR="000A3FBE">
        <w:t xml:space="preserve"> according to </w:t>
      </w:r>
      <w:r w:rsidR="00735E61">
        <w:t>174 years of TC data from IBTrACS</w:t>
      </w:r>
      <w:r w:rsidR="005F20FD">
        <w:t xml:space="preserve"> (note</w:t>
      </w:r>
      <w:r w:rsidR="00F9159F">
        <w:t>: an impact</w:t>
      </w:r>
      <w:r w:rsidR="005F20FD">
        <w:t xml:space="preserve"> does not necessarily mean landfall</w:t>
      </w:r>
      <w:r w:rsidR="00212CDD">
        <w:t xml:space="preserve"> or severe damage</w:t>
      </w:r>
      <w:r w:rsidR="00F9159F">
        <w:t>).</w:t>
      </w:r>
    </w:p>
    <w:p w14:paraId="40D5DC02" w14:textId="3F82F1F7" w:rsidR="00B9552A" w:rsidRDefault="00F9159F" w:rsidP="00162924">
      <w:pPr>
        <w:pStyle w:val="ListParagraph"/>
        <w:numPr>
          <w:ilvl w:val="0"/>
          <w:numId w:val="100"/>
        </w:numPr>
        <w:rPr>
          <w:rFonts w:hint="eastAsia"/>
        </w:rPr>
      </w:pPr>
      <w:r>
        <w:t>C</w:t>
      </w:r>
      <w:r w:rsidR="00F250CD">
        <w:t>omparatively</w:t>
      </w:r>
      <w:r>
        <w:t>,</w:t>
      </w:r>
      <w:r w:rsidR="000749A9">
        <w:t xml:space="preserve"> mid-latitude cyclones occur more frequently</w:t>
      </w:r>
      <w:r w:rsidR="00BC01E7">
        <w:t xml:space="preserve"> </w:t>
      </w:r>
      <w:r w:rsidR="00212CDD">
        <w:t xml:space="preserve">and can impact Connecticut multiple times each winter, </w:t>
      </w:r>
      <w:r w:rsidR="00B922D6">
        <w:t xml:space="preserve">again </w:t>
      </w:r>
      <w:r w:rsidR="00212CDD">
        <w:t xml:space="preserve">to varying degrees of severity. </w:t>
      </w:r>
    </w:p>
    <w:p w14:paraId="1ED9F403" w14:textId="6A643978" w:rsidR="00272A31" w:rsidRPr="00B422E5" w:rsidRDefault="00721A62" w:rsidP="00162924">
      <w:pPr>
        <w:pStyle w:val="ListParagraph"/>
        <w:numPr>
          <w:ilvl w:val="0"/>
          <w:numId w:val="100"/>
        </w:numPr>
        <w:rPr>
          <w:rFonts w:hint="eastAsia"/>
        </w:rPr>
      </w:pPr>
      <w:r>
        <w:t xml:space="preserve">Severe thunderstorms </w:t>
      </w:r>
      <w:r w:rsidR="00785802">
        <w:t xml:space="preserve">(high winds, large hail, tornadoes) impact WestCOG </w:t>
      </w:r>
      <w:r w:rsidR="00E85CBD">
        <w:t>regularly each summer</w:t>
      </w:r>
      <w:r w:rsidR="00284388">
        <w:t>; high winds, heavy rain,</w:t>
      </w:r>
      <w:r w:rsidR="00B422E5">
        <w:t xml:space="preserve"> and large hail are more common</w:t>
      </w:r>
      <w:r w:rsidR="00272A31">
        <w:t xml:space="preserve"> hazards</w:t>
      </w:r>
      <w:r w:rsidR="00B422E5">
        <w:t xml:space="preserve"> than tornadoes. </w:t>
      </w:r>
    </w:p>
    <w:p w14:paraId="30A5334D" w14:textId="77777777" w:rsidR="006C69BE" w:rsidRDefault="006C69BE" w:rsidP="00734799">
      <w:pPr>
        <w:pStyle w:val="ListParagraph"/>
        <w:ind w:left="1080"/>
        <w:rPr>
          <w:rFonts w:hint="eastAsia"/>
        </w:rPr>
      </w:pPr>
    </w:p>
    <w:p w14:paraId="350D105C" w14:textId="1F121789" w:rsidR="00307B4A" w:rsidRDefault="00584D24" w:rsidP="001F4FB9">
      <w:pPr>
        <w:rPr>
          <w:rFonts w:hint="eastAsia"/>
        </w:rPr>
      </w:pPr>
      <w:r>
        <w:t xml:space="preserve">Subsequent sections </w:t>
      </w:r>
      <w:r w:rsidR="0055339E">
        <w:t>detail precipitation</w:t>
      </w:r>
      <w:r w:rsidR="00A83F53">
        <w:t>, sea level rise, heat, and drought</w:t>
      </w:r>
      <w:r w:rsidR="00BB0E3C">
        <w:t xml:space="preserve"> </w:t>
      </w:r>
      <w:r w:rsidR="00A83F53">
        <w:t>projections that are exacerbated by these events.</w:t>
      </w:r>
    </w:p>
    <w:p w14:paraId="4A8177CD" w14:textId="1333B626" w:rsidR="00B61364" w:rsidRDefault="00311BB2" w:rsidP="00C84A0B">
      <w:pPr>
        <w:pStyle w:val="Heading2"/>
        <w:rPr>
          <w:rFonts w:hint="eastAsia"/>
        </w:rPr>
      </w:pPr>
      <w:bookmarkStart w:id="24" w:name="_Toc233228207"/>
      <w:r>
        <w:t xml:space="preserve">Identified Best Practices </w:t>
      </w:r>
      <w:r w:rsidR="00F654EE">
        <w:t>Related to Extreme</w:t>
      </w:r>
      <w:r>
        <w:t xml:space="preserve"> Storm</w:t>
      </w:r>
      <w:r w:rsidR="00F654EE">
        <w:t>s</w:t>
      </w:r>
      <w:bookmarkEnd w:id="24"/>
    </w:p>
    <w:p w14:paraId="73DCA766" w14:textId="5FA6A025" w:rsidR="00B9552A" w:rsidRPr="00511A36" w:rsidRDefault="00682B40" w:rsidP="004D42B8">
      <w:pPr>
        <w:rPr>
          <w:rFonts w:hint="eastAsia"/>
        </w:rPr>
      </w:pPr>
      <w:r>
        <w:t>WestCOG municipalities</w:t>
      </w:r>
      <w:r w:rsidR="00C84A0B">
        <w:t xml:space="preserve"> can plan for extreme storms </w:t>
      </w:r>
      <w:r>
        <w:t>using</w:t>
      </w:r>
      <w:r w:rsidR="00391131">
        <w:t xml:space="preserve"> the above </w:t>
      </w:r>
      <w:r w:rsidR="00484F04">
        <w:t>probabilities</w:t>
      </w:r>
      <w:r w:rsidR="003D26B3">
        <w:t xml:space="preserve"> and projections. As storm intensity increases</w:t>
      </w:r>
      <w:r w:rsidR="000D2324">
        <w:t xml:space="preserve">, </w:t>
      </w:r>
      <w:r w:rsidR="00622954">
        <w:t xml:space="preserve">policies </w:t>
      </w:r>
      <w:r w:rsidR="00587DD0">
        <w:t xml:space="preserve">and procedures </w:t>
      </w:r>
      <w:r w:rsidR="00622954">
        <w:t>can account for the multivariate interactions between extreme storms and other hazards by:</w:t>
      </w:r>
    </w:p>
    <w:p w14:paraId="5A78DC1C" w14:textId="3AD5DCAB" w:rsidR="00B9552A" w:rsidRDefault="001B29C9" w:rsidP="00162924">
      <w:pPr>
        <w:pStyle w:val="ListParagraph"/>
        <w:numPr>
          <w:ilvl w:val="0"/>
          <w:numId w:val="101"/>
        </w:numPr>
        <w:rPr>
          <w:rFonts w:hint="eastAsia"/>
        </w:rPr>
      </w:pPr>
      <w:r w:rsidRPr="00734799">
        <w:rPr>
          <w:b/>
          <w:bCs/>
        </w:rPr>
        <w:t>Encouraging Resilient Design</w:t>
      </w:r>
      <w:r w:rsidR="00B97A3C">
        <w:t>:</w:t>
      </w:r>
      <w:r w:rsidR="003178EF" w:rsidRPr="003178EF">
        <w:t xml:space="preserve"> </w:t>
      </w:r>
      <w:r w:rsidR="00AF4CC7">
        <w:t>Communities can a</w:t>
      </w:r>
      <w:r w:rsidR="00D22550">
        <w:t>dopt</w:t>
      </w:r>
      <w:r w:rsidR="00553B43">
        <w:t xml:space="preserve"> </w:t>
      </w:r>
      <w:r w:rsidR="003178EF" w:rsidRPr="003178EF">
        <w:t xml:space="preserve">the latest </w:t>
      </w:r>
      <w:r w:rsidR="00DA15A5" w:rsidRPr="00DA15A5">
        <w:t>Insurance Institute for Business &amp; Home Safety</w:t>
      </w:r>
      <w:r w:rsidR="00DA15A5">
        <w:t xml:space="preserve"> (</w:t>
      </w:r>
      <w:r w:rsidR="003178EF" w:rsidRPr="003178EF">
        <w:t>IBHS</w:t>
      </w:r>
      <w:r w:rsidR="00DA15A5">
        <w:t>)</w:t>
      </w:r>
      <w:r w:rsidR="003178EF" w:rsidRPr="003178EF">
        <w:t xml:space="preserve"> </w:t>
      </w:r>
      <w:r w:rsidR="003F72CE">
        <w:t>FORTIFIED</w:t>
      </w:r>
      <w:r w:rsidR="003178EF" w:rsidRPr="003178EF">
        <w:t xml:space="preserve"> standards </w:t>
      </w:r>
      <w:r w:rsidR="000A3AE9">
        <w:t>fo</w:t>
      </w:r>
      <w:r w:rsidR="00553B43">
        <w:t>cused on</w:t>
      </w:r>
      <w:r w:rsidR="003178EF" w:rsidRPr="003178EF">
        <w:t xml:space="preserve"> high-wind rated roofing and impact-resistant glazing</w:t>
      </w:r>
      <w:r w:rsidR="00D22550">
        <w:t>.</w:t>
      </w:r>
    </w:p>
    <w:p w14:paraId="3F3CD754" w14:textId="0D781449" w:rsidR="00B97A3C" w:rsidRPr="00734799" w:rsidRDefault="00436330" w:rsidP="00162924">
      <w:pPr>
        <w:pStyle w:val="ListParagraph"/>
        <w:numPr>
          <w:ilvl w:val="0"/>
          <w:numId w:val="101"/>
        </w:numPr>
        <w:rPr>
          <w:rFonts w:hint="eastAsia"/>
          <w:b/>
        </w:rPr>
      </w:pPr>
      <w:r w:rsidRPr="00734799">
        <w:rPr>
          <w:b/>
          <w:bCs/>
        </w:rPr>
        <w:t xml:space="preserve">Bolstering Natural </w:t>
      </w:r>
      <w:r w:rsidR="00967D01" w:rsidRPr="00734799">
        <w:rPr>
          <w:b/>
          <w:bCs/>
        </w:rPr>
        <w:t>Buffers</w:t>
      </w:r>
      <w:r w:rsidR="00B97A3C">
        <w:t xml:space="preserve">: </w:t>
      </w:r>
      <w:r w:rsidR="002236A0">
        <w:t>Enhanced policies</w:t>
      </w:r>
      <w:r w:rsidR="00433326">
        <w:t xml:space="preserve"> can </w:t>
      </w:r>
      <w:r w:rsidR="00D1509D">
        <w:t>transform</w:t>
      </w:r>
      <w:r w:rsidR="00433326" w:rsidRPr="00433326">
        <w:t xml:space="preserve"> underutilized land </w:t>
      </w:r>
      <w:r w:rsidR="00433326" w:rsidRPr="002236A0">
        <w:t xml:space="preserve">into </w:t>
      </w:r>
      <w:r w:rsidR="00433326" w:rsidRPr="00734799">
        <w:t>bioswales and detention</w:t>
      </w:r>
      <w:r w:rsidR="002236A0">
        <w:t xml:space="preserve"> pon</w:t>
      </w:r>
      <w:r w:rsidR="005112D2">
        <w:t>d</w:t>
      </w:r>
      <w:r w:rsidR="002236A0">
        <w:t>s</w:t>
      </w:r>
      <w:r w:rsidR="005112D2">
        <w:t>,</w:t>
      </w:r>
      <w:r w:rsidR="006836A0">
        <w:t xml:space="preserve"> </w:t>
      </w:r>
      <w:r w:rsidR="00D1509D">
        <w:t>replace</w:t>
      </w:r>
      <w:r w:rsidR="00433326" w:rsidRPr="00433326">
        <w:t xml:space="preserve"> invasive, shallow-rooted species with native, wind-firm hardwoods that can better withstand </w:t>
      </w:r>
      <w:r w:rsidR="005112D2">
        <w:t>storm gusts</w:t>
      </w:r>
      <w:r w:rsidR="00027ACE">
        <w:t xml:space="preserve">, or </w:t>
      </w:r>
      <w:r w:rsidR="000A73A3">
        <w:t>strategically place windbreak vegetatio</w:t>
      </w:r>
      <w:r w:rsidR="00E77AAF">
        <w:t>n to slow or redirect wind.</w:t>
      </w:r>
    </w:p>
    <w:p w14:paraId="1B710675" w14:textId="77777777" w:rsidR="00682B40" w:rsidRPr="00511A36" w:rsidRDefault="00682B40" w:rsidP="004D42B8">
      <w:pPr>
        <w:rPr>
          <w:rFonts w:hint="eastAsia"/>
        </w:rPr>
      </w:pPr>
    </w:p>
    <w:p w14:paraId="141018B9" w14:textId="77777777" w:rsidR="00AC7662" w:rsidRDefault="00AC7662">
      <w:pPr>
        <w:spacing w:line="259" w:lineRule="auto"/>
        <w:rPr>
          <w:rFonts w:asciiTheme="majorHAnsi" w:eastAsiaTheme="majorEastAsia" w:hAnsiTheme="majorHAnsi" w:cstheme="majorBidi" w:hint="eastAsia"/>
          <w:b/>
          <w:color w:val="4970B7" w:themeColor="accent3"/>
          <w:sz w:val="48"/>
          <w:szCs w:val="32"/>
        </w:rPr>
      </w:pPr>
      <w:r>
        <w:br w:type="page"/>
      </w:r>
    </w:p>
    <w:p w14:paraId="644EDBD0" w14:textId="50E248CF" w:rsidR="004D42B8" w:rsidRPr="00511A36" w:rsidRDefault="004D42B8" w:rsidP="00734799">
      <w:pPr>
        <w:pStyle w:val="Heading1"/>
        <w:rPr>
          <w:rFonts w:hint="eastAsia"/>
        </w:rPr>
      </w:pPr>
      <w:bookmarkStart w:id="25" w:name="_Toc233228208"/>
      <w:r w:rsidRPr="00511A36">
        <w:t>Flooding &amp; Stormwater</w:t>
      </w:r>
      <w:bookmarkEnd w:id="25"/>
    </w:p>
    <w:p w14:paraId="113160B2" w14:textId="6D1910B9" w:rsidR="00634303" w:rsidRPr="002508EE" w:rsidRDefault="004D42B8" w:rsidP="00634303">
      <w:pPr>
        <w:spacing w:after="240"/>
        <w:rPr>
          <w:rFonts w:hint="eastAsia"/>
        </w:rPr>
      </w:pPr>
      <w:r w:rsidRPr="00511A36">
        <w:t xml:space="preserve">Flooding is the most common natural hazard encountered in the Region. Triggered by </w:t>
      </w:r>
      <w:r w:rsidR="003D125F" w:rsidRPr="00511A36">
        <w:t>various events, floods can occur in</w:t>
      </w:r>
      <w:r w:rsidRPr="00511A36">
        <w:t xml:space="preserve"> any season</w:t>
      </w:r>
      <w:r w:rsidR="00AC7F8F">
        <w:t xml:space="preserve">, and </w:t>
      </w:r>
      <w:r w:rsidR="004A2A69" w:rsidRPr="002508EE">
        <w:t xml:space="preserve">risks in the area are often exacerbated by </w:t>
      </w:r>
      <w:r w:rsidR="00CA5495" w:rsidRPr="002508EE">
        <w:t>frequent extreme storm events</w:t>
      </w:r>
      <w:r w:rsidR="00E13D0A" w:rsidRPr="002508EE">
        <w:t xml:space="preserve">. </w:t>
      </w:r>
      <w:r w:rsidR="00634303" w:rsidRPr="002508EE">
        <w:t xml:space="preserve">WestCOG </w:t>
      </w:r>
      <w:r w:rsidR="00634303">
        <w:t xml:space="preserve">communities </w:t>
      </w:r>
      <w:r w:rsidR="00634303" w:rsidRPr="002508EE">
        <w:t xml:space="preserve">experience multiple sources of flooding, including rainfall (pluvial), riverine (fluvial), </w:t>
      </w:r>
      <w:r w:rsidR="00634303">
        <w:t xml:space="preserve">and </w:t>
      </w:r>
      <w:r w:rsidR="00634303" w:rsidRPr="002508EE">
        <w:t xml:space="preserve">coastal </w:t>
      </w:r>
      <w:r w:rsidR="00634303">
        <w:t>flooding</w:t>
      </w:r>
      <w:r w:rsidR="00634303" w:rsidRPr="002508EE">
        <w:t xml:space="preserve">. </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7470"/>
      </w:tblGrid>
      <w:tr w:rsidR="00634303" w:rsidRPr="002508EE" w14:paraId="1BA7C796" w14:textId="77777777" w:rsidTr="00734799">
        <w:trPr>
          <w:trHeight w:val="2250"/>
        </w:trPr>
        <w:tc>
          <w:tcPr>
            <w:tcW w:w="1890" w:type="dxa"/>
            <w:vAlign w:val="center"/>
          </w:tcPr>
          <w:p w14:paraId="2E57496F" w14:textId="77777777" w:rsidR="00634303" w:rsidRPr="002508EE" w:rsidRDefault="00634303">
            <w:pPr>
              <w:rPr>
                <w:rFonts w:hint="eastAsia"/>
              </w:rPr>
            </w:pPr>
            <w:r w:rsidRPr="002508EE">
              <w:rPr>
                <w:noProof/>
              </w:rPr>
              <w:drawing>
                <wp:inline distT="0" distB="0" distL="0" distR="0" wp14:anchorId="181AF945" wp14:editId="288DB95B">
                  <wp:extent cx="948485" cy="956733"/>
                  <wp:effectExtent l="0" t="0" r="4445" b="0"/>
                  <wp:docPr id="19921483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1651" cy="959927"/>
                          </a:xfrm>
                          <a:prstGeom prst="rect">
                            <a:avLst/>
                          </a:prstGeom>
                          <a:noFill/>
                          <a:ln>
                            <a:noFill/>
                          </a:ln>
                        </pic:spPr>
                      </pic:pic>
                    </a:graphicData>
                  </a:graphic>
                </wp:inline>
              </w:drawing>
            </w:r>
          </w:p>
        </w:tc>
        <w:tc>
          <w:tcPr>
            <w:tcW w:w="7470" w:type="dxa"/>
            <w:vAlign w:val="center"/>
          </w:tcPr>
          <w:p w14:paraId="65A8E6B6" w14:textId="53FC2F93" w:rsidR="00634303" w:rsidRPr="002508EE" w:rsidRDefault="00634303">
            <w:pPr>
              <w:rPr>
                <w:rFonts w:hint="eastAsia"/>
                <w:b/>
                <w:bCs/>
              </w:rPr>
            </w:pPr>
            <w:r w:rsidRPr="002508EE">
              <w:rPr>
                <w:b/>
              </w:rPr>
              <w:t xml:space="preserve">Rainfall (Pluvial) Flooding: </w:t>
            </w:r>
            <w:r w:rsidRPr="002508EE">
              <w:t>Prolonged or intense rainfall can inundate inland areas when runoff overwhelms natural or built drainage systems, leading to stormwater flooding and ponding. Extreme rainfall events are projected to worsen over time</w:t>
            </w:r>
            <w:r w:rsidR="00055BB2">
              <w:t xml:space="preserve"> (see </w:t>
            </w:r>
            <w:r w:rsidR="00055BB2" w:rsidRPr="00843358">
              <w:fldChar w:fldCharType="begin" w:fldLock="1"/>
            </w:r>
            <w:r w:rsidR="00055BB2" w:rsidRPr="00843358">
              <w:instrText xml:space="preserve"> REF _Ref228514508 \h </w:instrText>
            </w:r>
            <w:r w:rsidR="005E43AE" w:rsidRPr="00843358">
              <w:instrText xml:space="preserve"> \* MERGEFORMAT </w:instrText>
            </w:r>
            <w:r w:rsidR="00055BB2" w:rsidRPr="00843358">
              <w:fldChar w:fldCharType="separate"/>
            </w:r>
            <w:r w:rsidR="00AB64CB" w:rsidRPr="002508EE">
              <w:t>Extreme Storm</w:t>
            </w:r>
            <w:r w:rsidR="00AB64CB">
              <w:t>s</w:t>
            </w:r>
            <w:r w:rsidR="00055BB2" w:rsidRPr="00843358">
              <w:fldChar w:fldCharType="end"/>
            </w:r>
            <w:r w:rsidR="00055BB2">
              <w:t>)</w:t>
            </w:r>
            <w:r w:rsidRPr="002508EE">
              <w:t xml:space="preserve">, </w:t>
            </w:r>
            <w:r w:rsidR="00055BB2">
              <w:t>and a</w:t>
            </w:r>
            <w:r w:rsidRPr="002508EE">
              <w:t xml:space="preserve">s sea levels rise, </w:t>
            </w:r>
            <w:r w:rsidR="00055BB2">
              <w:t xml:space="preserve">higher water levels can </w:t>
            </w:r>
            <w:r w:rsidR="007D0245">
              <w:t>impede</w:t>
            </w:r>
            <w:r w:rsidR="00055BB2">
              <w:t xml:space="preserve"> drainage infrastructure</w:t>
            </w:r>
            <w:r w:rsidR="007D0245">
              <w:t xml:space="preserve"> functions</w:t>
            </w:r>
            <w:r w:rsidR="00055BB2">
              <w:t>, leading to increased flooding</w:t>
            </w:r>
            <w:r w:rsidRPr="002508EE">
              <w:t>.</w:t>
            </w:r>
          </w:p>
        </w:tc>
      </w:tr>
      <w:tr w:rsidR="00634303" w:rsidRPr="002508EE" w14:paraId="253D2EBC" w14:textId="77777777" w:rsidTr="00734799">
        <w:trPr>
          <w:trHeight w:val="2970"/>
        </w:trPr>
        <w:tc>
          <w:tcPr>
            <w:tcW w:w="1890" w:type="dxa"/>
            <w:vAlign w:val="center"/>
          </w:tcPr>
          <w:p w14:paraId="0EA07573" w14:textId="77777777" w:rsidR="00634303" w:rsidRPr="002508EE" w:rsidRDefault="00634303">
            <w:pPr>
              <w:rPr>
                <w:rFonts w:hint="eastAsia"/>
              </w:rPr>
            </w:pPr>
            <w:r w:rsidRPr="002508EE">
              <w:rPr>
                <w:noProof/>
              </w:rPr>
              <w:drawing>
                <wp:inline distT="0" distB="0" distL="0" distR="0" wp14:anchorId="7D74785A" wp14:editId="06C99E67">
                  <wp:extent cx="931333" cy="931333"/>
                  <wp:effectExtent l="0" t="0" r="2540" b="2540"/>
                  <wp:docPr id="19117374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37932" cy="937932"/>
                          </a:xfrm>
                          <a:prstGeom prst="rect">
                            <a:avLst/>
                          </a:prstGeom>
                          <a:noFill/>
                        </pic:spPr>
                      </pic:pic>
                    </a:graphicData>
                  </a:graphic>
                </wp:inline>
              </w:drawing>
            </w:r>
          </w:p>
        </w:tc>
        <w:tc>
          <w:tcPr>
            <w:tcW w:w="7470" w:type="dxa"/>
            <w:vAlign w:val="center"/>
          </w:tcPr>
          <w:p w14:paraId="3CC679D8" w14:textId="79538035" w:rsidR="00634303" w:rsidRPr="002508EE" w:rsidRDefault="00634303">
            <w:pPr>
              <w:rPr>
                <w:rFonts w:hint="eastAsia"/>
                <w:b/>
              </w:rPr>
            </w:pPr>
            <w:r w:rsidRPr="002508EE">
              <w:rPr>
                <w:b/>
                <w:bCs/>
              </w:rPr>
              <w:t>Riverine (Fluvial) Flooding:</w:t>
            </w:r>
            <w:r w:rsidRPr="002508EE">
              <w:rPr>
                <w:b/>
              </w:rPr>
              <w:t xml:space="preserve"> </w:t>
            </w:r>
            <w:r w:rsidR="00E37E30" w:rsidRPr="00734799">
              <w:t>Riverine flooding</w:t>
            </w:r>
            <w:r w:rsidR="00E37E30" w:rsidRPr="00E37E30">
              <w:t xml:space="preserve"> </w:t>
            </w:r>
            <w:r w:rsidR="004A221A">
              <w:t xml:space="preserve">occurs when precipitation </w:t>
            </w:r>
            <w:r w:rsidR="00E37E30" w:rsidRPr="00E37E30">
              <w:t xml:space="preserve">accumulates within waterways and </w:t>
            </w:r>
            <w:r w:rsidR="004A221A">
              <w:t xml:space="preserve">linked </w:t>
            </w:r>
            <w:r w:rsidR="00E37E30" w:rsidRPr="00E37E30">
              <w:t xml:space="preserve">drainage systems. This type of flooding </w:t>
            </w:r>
            <w:r w:rsidR="004A221A" w:rsidRPr="00E37E30">
              <w:t>manifests</w:t>
            </w:r>
            <w:r w:rsidR="00E37E30" w:rsidRPr="00E37E30">
              <w:t xml:space="preserve"> </w:t>
            </w:r>
            <w:r w:rsidR="004A221A">
              <w:t xml:space="preserve">as </w:t>
            </w:r>
            <w:r w:rsidR="00E37E30" w:rsidRPr="00E37E30">
              <w:t>surging water</w:t>
            </w:r>
            <w:r w:rsidR="00297AF8">
              <w:t xml:space="preserve"> surface</w:t>
            </w:r>
            <w:r w:rsidR="00E37E30" w:rsidRPr="00E37E30">
              <w:t xml:space="preserve"> levels that exceed the capacity of a stream</w:t>
            </w:r>
            <w:r w:rsidR="004A221A">
              <w:t xml:space="preserve"> channel or </w:t>
            </w:r>
            <w:r w:rsidR="004A221A" w:rsidRPr="00E37E30">
              <w:t>riverbank</w:t>
            </w:r>
            <w:r w:rsidR="00E37E30" w:rsidRPr="00E37E30">
              <w:t xml:space="preserve">. While often triggered by local rainfall, it also </w:t>
            </w:r>
            <w:r w:rsidR="00E37E30" w:rsidRPr="00561F65">
              <w:t xml:space="preserve">includes </w:t>
            </w:r>
            <w:r w:rsidR="00E37E30" w:rsidRPr="00734799">
              <w:t>"sunny day" flooding</w:t>
            </w:r>
            <w:r w:rsidR="00E37E30" w:rsidRPr="00561F65">
              <w:t>, where</w:t>
            </w:r>
            <w:r w:rsidR="00E37E30" w:rsidRPr="00E37E30">
              <w:t xml:space="preserve"> riverine swelling is caused by snowmelt</w:t>
            </w:r>
            <w:r w:rsidR="004A221A">
              <w:t xml:space="preserve"> or</w:t>
            </w:r>
            <w:r w:rsidR="00E37E30" w:rsidRPr="00E37E30">
              <w:t xml:space="preserve"> rain</w:t>
            </w:r>
            <w:r w:rsidR="004A221A">
              <w:t xml:space="preserve"> </w:t>
            </w:r>
            <w:r w:rsidR="00E37E30" w:rsidRPr="00E37E30">
              <w:t>in the upper portions of a watershed, far from the affected area.</w:t>
            </w:r>
          </w:p>
        </w:tc>
      </w:tr>
      <w:tr w:rsidR="00634303" w:rsidRPr="002508EE" w14:paraId="268BC9FF" w14:textId="77777777" w:rsidTr="00734799">
        <w:trPr>
          <w:trHeight w:val="620"/>
        </w:trPr>
        <w:tc>
          <w:tcPr>
            <w:tcW w:w="1890" w:type="dxa"/>
            <w:vAlign w:val="center"/>
            <w:hideMark/>
          </w:tcPr>
          <w:p w14:paraId="37369EEA" w14:textId="2034A3D3" w:rsidR="00634303" w:rsidRPr="002508EE" w:rsidRDefault="00055BB2">
            <w:pPr>
              <w:spacing w:after="240"/>
              <w:rPr>
                <w:rFonts w:hint="eastAsia"/>
              </w:rPr>
            </w:pPr>
            <w:r w:rsidRPr="002508EE">
              <w:rPr>
                <w:noProof/>
              </w:rPr>
              <w:drawing>
                <wp:inline distT="0" distB="0" distL="0" distR="0" wp14:anchorId="1E7D8F59" wp14:editId="2DDC1A32">
                  <wp:extent cx="965200" cy="965200"/>
                  <wp:effectExtent l="0" t="0" r="6350" b="6350"/>
                  <wp:docPr id="17602716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67222" cy="967222"/>
                          </a:xfrm>
                          <a:prstGeom prst="rect">
                            <a:avLst/>
                          </a:prstGeom>
                          <a:noFill/>
                          <a:ln>
                            <a:noFill/>
                          </a:ln>
                        </pic:spPr>
                      </pic:pic>
                    </a:graphicData>
                  </a:graphic>
                </wp:inline>
              </w:drawing>
            </w:r>
          </w:p>
        </w:tc>
        <w:tc>
          <w:tcPr>
            <w:tcW w:w="7470" w:type="dxa"/>
            <w:vAlign w:val="center"/>
            <w:hideMark/>
          </w:tcPr>
          <w:p w14:paraId="457B4ED3" w14:textId="20DF4C21" w:rsidR="00634303" w:rsidRPr="002508EE" w:rsidRDefault="00634303">
            <w:pPr>
              <w:rPr>
                <w:rFonts w:hint="eastAsia"/>
              </w:rPr>
            </w:pPr>
            <w:r w:rsidRPr="002508EE">
              <w:rPr>
                <w:b/>
                <w:bCs/>
              </w:rPr>
              <w:t>Coastal Flooding:</w:t>
            </w:r>
            <w:r w:rsidRPr="002508EE">
              <w:t xml:space="preserve"> Coastal flooding </w:t>
            </w:r>
            <w:r w:rsidR="003C24FC">
              <w:t xml:space="preserve">is associated with </w:t>
            </w:r>
            <w:r w:rsidR="001069A9">
              <w:t>three</w:t>
            </w:r>
            <w:r w:rsidR="003C24FC">
              <w:t xml:space="preserve"> </w:t>
            </w:r>
            <w:r w:rsidR="00D85923">
              <w:t xml:space="preserve">related </w:t>
            </w:r>
            <w:r w:rsidR="003C24FC">
              <w:t>hazards: sea level rise</w:t>
            </w:r>
            <w:r w:rsidR="0008362A">
              <w:t xml:space="preserve"> (SLR)</w:t>
            </w:r>
            <w:r w:rsidR="001069A9">
              <w:t>, saltwater intrusion</w:t>
            </w:r>
            <w:r w:rsidR="007F33C0">
              <w:t>, and storm surge</w:t>
            </w:r>
            <w:r w:rsidR="003C24FC">
              <w:t>.</w:t>
            </w:r>
            <w:r w:rsidR="0049219F">
              <w:t xml:space="preserve"> </w:t>
            </w:r>
            <w:r w:rsidR="005C24E8">
              <w:t xml:space="preserve">Rising sea levels </w:t>
            </w:r>
            <w:r w:rsidR="00C41220">
              <w:t xml:space="preserve">exacerbate flooding </w:t>
            </w:r>
            <w:r w:rsidR="00D85923">
              <w:t>by inundating typically dry areas during high tides and pushing water</w:t>
            </w:r>
            <w:r w:rsidRPr="002508EE">
              <w:t xml:space="preserve"> farther inland. This "sunny-day flooding" or “king tide flooding” may not pose immediate safety risks but can disrupt daily activities and damage infrastructure over time.</w:t>
            </w:r>
            <w:r w:rsidR="00D85923">
              <w:t xml:space="preserve"> </w:t>
            </w:r>
            <w:r w:rsidR="007F33C0">
              <w:t xml:space="preserve">As sea level rises, saltwater also seeps into freshwater aquifers, contaminating potable and agricultural water supplies. </w:t>
            </w:r>
            <w:r w:rsidR="00D85923" w:rsidRPr="002508EE">
              <w:t>Coastal storm surge occurs when winds from hurricanes and tropical storms push ocean waters inland. The height and extent of storm surge depend on factors like wind speed and atmospheric pressure, as well as the shape of the coastline.</w:t>
            </w:r>
            <w:r w:rsidR="001069A9">
              <w:t xml:space="preserve"> </w:t>
            </w:r>
          </w:p>
        </w:tc>
      </w:tr>
    </w:tbl>
    <w:p w14:paraId="3C93F5AC" w14:textId="39E8D21D" w:rsidR="00E56E20" w:rsidRDefault="00942251" w:rsidP="003D125F">
      <w:pPr>
        <w:rPr>
          <w:rFonts w:hint="eastAsia"/>
        </w:rPr>
      </w:pPr>
      <w:r>
        <w:rPr>
          <w:rFonts w:eastAsia="Aptos" w:cs="Aptos"/>
          <w:noProof/>
        </w:rPr>
        <mc:AlternateContent>
          <mc:Choice Requires="wps">
            <w:drawing>
              <wp:inline distT="0" distB="0" distL="0" distR="0" wp14:anchorId="56C11079" wp14:editId="36C90C2B">
                <wp:extent cx="5943600" cy="4652682"/>
                <wp:effectExtent l="0" t="0" r="0" b="0"/>
                <wp:docPr id="1249580036" name="Rectangle 1"/>
                <wp:cNvGraphicFramePr/>
                <a:graphic xmlns:a="http://schemas.openxmlformats.org/drawingml/2006/main">
                  <a:graphicData uri="http://schemas.microsoft.com/office/word/2010/wordprocessingShape">
                    <wps:wsp>
                      <wps:cNvSpPr/>
                      <wps:spPr>
                        <a:xfrm>
                          <a:off x="0" y="0"/>
                          <a:ext cx="5943600" cy="4652682"/>
                        </a:xfrm>
                        <a:prstGeom prst="rect">
                          <a:avLst/>
                        </a:prstGeom>
                        <a:solidFill>
                          <a:schemeClr val="accent3">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76DBC4A" w14:textId="4B8EBC80" w:rsidR="00942251" w:rsidRPr="00162924" w:rsidRDefault="00942251" w:rsidP="00162924">
                            <w:pPr>
                              <w:pStyle w:val="Heading2"/>
                              <w:rPr>
                                <w:rFonts w:hint="eastAsia"/>
                                <w:color w:val="FFFFFF" w:themeColor="background1"/>
                              </w:rPr>
                            </w:pPr>
                            <w:bookmarkStart w:id="26" w:name="_Toc233228209"/>
                            <w:r w:rsidRPr="00162924">
                              <w:rPr>
                                <w:rFonts w:hint="eastAsia"/>
                                <w:color w:val="FFFFFF" w:themeColor="background1"/>
                              </w:rPr>
                              <w:t>Understanding Regional Vulnerability to Flooding</w:t>
                            </w:r>
                            <w:bookmarkEnd w:id="26"/>
                          </w:p>
                          <w:p w14:paraId="1AC395B0" w14:textId="779468E7" w:rsidR="00942251" w:rsidRPr="00162924" w:rsidRDefault="00942251" w:rsidP="00942251">
                            <w:pPr>
                              <w:rPr>
                                <w:rFonts w:hint="eastAsia"/>
                                <w:color w:val="FFFFFF" w:themeColor="background2"/>
                              </w:rPr>
                            </w:pPr>
                            <w:r w:rsidRPr="00162924">
                              <w:rPr>
                                <w:rFonts w:hint="eastAsia"/>
                                <w:color w:val="FFFFFF" w:themeColor="background2"/>
                              </w:rPr>
                              <w:t>To understand the region</w:t>
                            </w:r>
                            <w:r w:rsidRPr="00162924">
                              <w:rPr>
                                <w:rFonts w:hint="eastAsia"/>
                                <w:color w:val="FFFFFF" w:themeColor="background2"/>
                              </w:rPr>
                              <w:t>’</w:t>
                            </w:r>
                            <w:r w:rsidRPr="00162924">
                              <w:rPr>
                                <w:rFonts w:hint="eastAsia"/>
                                <w:color w:val="FFFFFF" w:themeColor="background2"/>
                              </w:rPr>
                              <w:t>s vulnerability to the flood types mentioned above, CIRCA developed a Flood CCVI</w:t>
                            </w:r>
                            <w:r w:rsidR="00CB1232">
                              <w:rPr>
                                <w:color w:val="FFFFFF" w:themeColor="background2"/>
                              </w:rPr>
                              <w:t xml:space="preserve"> </w:t>
                            </w:r>
                            <w:r w:rsidR="00CB1232" w:rsidRPr="00642FCA">
                              <w:rPr>
                                <w:color w:val="FFFFFF" w:themeColor="background2"/>
                              </w:rPr>
                              <w:t>for the state of Connecticut</w:t>
                            </w:r>
                            <w:r w:rsidRPr="00162924">
                              <w:rPr>
                                <w:rFonts w:hint="eastAsia"/>
                                <w:color w:val="FFFFFF" w:themeColor="background2"/>
                              </w:rPr>
                              <w:t xml:space="preserve"> that combines flood exposure, sensitivity, and adaptive capacity. </w:t>
                            </w:r>
                          </w:p>
                          <w:p w14:paraId="5C524BCA" w14:textId="77777777" w:rsidR="00942251" w:rsidRPr="00162924" w:rsidRDefault="00942251" w:rsidP="00942251">
                            <w:pPr>
                              <w:rPr>
                                <w:rFonts w:hint="eastAsia"/>
                                <w:color w:val="FFFFFF" w:themeColor="background2"/>
                              </w:rPr>
                            </w:pPr>
                            <w:r w:rsidRPr="00162924">
                              <w:rPr>
                                <w:rFonts w:hint="eastAsia"/>
                                <w:color w:val="FFFFFF" w:themeColor="background2"/>
                              </w:rPr>
                              <w:t xml:space="preserve">Flood Exposure in this model combines: </w:t>
                            </w:r>
                          </w:p>
                          <w:p w14:paraId="13ED136C" w14:textId="13114165" w:rsidR="00942251" w:rsidRPr="00162924" w:rsidRDefault="00942251" w:rsidP="00162924">
                            <w:pPr>
                              <w:pStyle w:val="ListParagraph"/>
                              <w:numPr>
                                <w:ilvl w:val="0"/>
                                <w:numId w:val="84"/>
                              </w:numPr>
                              <w:rPr>
                                <w:rFonts w:hint="eastAsia"/>
                                <w:color w:val="FFFFFF" w:themeColor="background2"/>
                              </w:rPr>
                            </w:pPr>
                            <w:r w:rsidRPr="00162924">
                              <w:rPr>
                                <w:rFonts w:hint="eastAsia"/>
                                <w:color w:val="FFFFFF" w:themeColor="background2"/>
                              </w:rPr>
                              <w:t>Storm surge, flood zone, and SLR exposure</w:t>
                            </w:r>
                          </w:p>
                          <w:p w14:paraId="5C326FD4" w14:textId="720A65B7" w:rsidR="00942251" w:rsidRPr="00162924" w:rsidRDefault="00942251" w:rsidP="00162924">
                            <w:pPr>
                              <w:pStyle w:val="ListParagraph"/>
                              <w:numPr>
                                <w:ilvl w:val="0"/>
                                <w:numId w:val="84"/>
                              </w:numPr>
                              <w:rPr>
                                <w:rFonts w:hint="eastAsia"/>
                                <w:color w:val="FFFFFF" w:themeColor="background2"/>
                              </w:rPr>
                            </w:pPr>
                            <w:r w:rsidRPr="00162924">
                              <w:rPr>
                                <w:rFonts w:hint="eastAsia"/>
                                <w:color w:val="FFFFFF" w:themeColor="background2"/>
                              </w:rPr>
                              <w:t>Soil drainage, erosion susceptibility, pooling areas, impervious surfaces, and a shoreline change rate</w:t>
                            </w:r>
                          </w:p>
                          <w:p w14:paraId="15F903FD" w14:textId="77777777" w:rsidR="00942251" w:rsidRPr="00162924" w:rsidRDefault="00942251" w:rsidP="00942251">
                            <w:pPr>
                              <w:rPr>
                                <w:rFonts w:hint="eastAsia"/>
                                <w:color w:val="FFFFFF" w:themeColor="background2"/>
                              </w:rPr>
                            </w:pPr>
                            <w:r w:rsidRPr="00162924">
                              <w:rPr>
                                <w:rFonts w:hint="eastAsia"/>
                                <w:color w:val="FFFFFF" w:themeColor="background2"/>
                              </w:rPr>
                              <w:t xml:space="preserve">Flood sensitivity combines: </w:t>
                            </w:r>
                          </w:p>
                          <w:p w14:paraId="7980DA2F" w14:textId="77777777" w:rsidR="00942251" w:rsidRPr="00162924" w:rsidRDefault="00942251" w:rsidP="00162924">
                            <w:pPr>
                              <w:pStyle w:val="ListParagraph"/>
                              <w:numPr>
                                <w:ilvl w:val="0"/>
                                <w:numId w:val="83"/>
                              </w:numPr>
                              <w:rPr>
                                <w:rFonts w:hint="eastAsia"/>
                                <w:color w:val="FFFFFF" w:themeColor="background2"/>
                              </w:rPr>
                            </w:pPr>
                            <w:r w:rsidRPr="00162924">
                              <w:rPr>
                                <w:rFonts w:hint="eastAsia"/>
                                <w:color w:val="FFFFFF" w:themeColor="background2"/>
                              </w:rPr>
                              <w:t>Proximity to critical facilities and critical habitats</w:t>
                            </w:r>
                          </w:p>
                          <w:p w14:paraId="58CE3A5D" w14:textId="4D8F9096" w:rsidR="00942251" w:rsidRPr="00162924" w:rsidRDefault="00942251" w:rsidP="00162924">
                            <w:pPr>
                              <w:pStyle w:val="ListParagraph"/>
                              <w:numPr>
                                <w:ilvl w:val="0"/>
                                <w:numId w:val="83"/>
                              </w:numPr>
                              <w:rPr>
                                <w:rFonts w:hint="eastAsia"/>
                                <w:color w:val="FFFFFF" w:themeColor="background2"/>
                              </w:rPr>
                            </w:pPr>
                            <w:r w:rsidRPr="00162924">
                              <w:rPr>
                                <w:rFonts w:hint="eastAsia"/>
                                <w:color w:val="FFFFFF" w:themeColor="background2"/>
                              </w:rPr>
                              <w:t>Social data such as median income, age, disability, and race</w:t>
                            </w:r>
                          </w:p>
                          <w:p w14:paraId="065C3D9B" w14:textId="77777777" w:rsidR="00942251" w:rsidRPr="00162924" w:rsidRDefault="00942251" w:rsidP="00942251">
                            <w:pPr>
                              <w:rPr>
                                <w:rFonts w:hint="eastAsia"/>
                                <w:color w:val="FFFFFF" w:themeColor="background2"/>
                              </w:rPr>
                            </w:pPr>
                            <w:r w:rsidRPr="00162924">
                              <w:rPr>
                                <w:rFonts w:hint="eastAsia"/>
                                <w:color w:val="FFFFFF" w:themeColor="background2"/>
                              </w:rPr>
                              <w:t xml:space="preserve">Flood adaptive capacity combines factors such as: </w:t>
                            </w:r>
                          </w:p>
                          <w:p w14:paraId="5E113A86" w14:textId="77777777" w:rsidR="00942251" w:rsidRPr="00162924" w:rsidRDefault="00942251" w:rsidP="00162924">
                            <w:pPr>
                              <w:pStyle w:val="ListParagraph"/>
                              <w:numPr>
                                <w:ilvl w:val="0"/>
                                <w:numId w:val="82"/>
                              </w:numPr>
                              <w:rPr>
                                <w:rFonts w:hint="eastAsia"/>
                                <w:color w:val="FFFFFF" w:themeColor="background2"/>
                              </w:rPr>
                            </w:pPr>
                            <w:r w:rsidRPr="00162924">
                              <w:rPr>
                                <w:rFonts w:hint="eastAsia"/>
                                <w:color w:val="FFFFFF" w:themeColor="background2"/>
                              </w:rPr>
                              <w:t xml:space="preserve">Distance to healthcare facilities, shelters, and major roadways </w:t>
                            </w:r>
                          </w:p>
                          <w:p w14:paraId="09C71610" w14:textId="77777777" w:rsidR="00942251" w:rsidRPr="00162924" w:rsidRDefault="00942251" w:rsidP="00162924">
                            <w:pPr>
                              <w:pStyle w:val="ListParagraph"/>
                              <w:numPr>
                                <w:ilvl w:val="0"/>
                                <w:numId w:val="82"/>
                              </w:numPr>
                              <w:rPr>
                                <w:rFonts w:hint="eastAsia"/>
                                <w:color w:val="FFFFFF" w:themeColor="background2"/>
                              </w:rPr>
                            </w:pPr>
                            <w:r w:rsidRPr="00162924">
                              <w:rPr>
                                <w:rFonts w:hint="eastAsia"/>
                                <w:color w:val="FFFFFF" w:themeColor="background2"/>
                              </w:rPr>
                              <w:t>Regulatory standards</w:t>
                            </w:r>
                          </w:p>
                          <w:p w14:paraId="1A0C1BE2" w14:textId="569938CA" w:rsidR="00942251" w:rsidRPr="00162924" w:rsidRDefault="00942251" w:rsidP="00162924">
                            <w:pPr>
                              <w:pStyle w:val="ListParagraph"/>
                              <w:numPr>
                                <w:ilvl w:val="0"/>
                                <w:numId w:val="82"/>
                              </w:numPr>
                              <w:rPr>
                                <w:rFonts w:hint="eastAsia"/>
                                <w:color w:val="FFFFFF" w:themeColor="background2"/>
                              </w:rPr>
                            </w:pPr>
                            <w:r w:rsidRPr="00162924">
                              <w:rPr>
                                <w:rFonts w:hint="eastAsia"/>
                                <w:color w:val="FFFFFF" w:themeColor="background2"/>
                              </w:rPr>
                              <w:t xml:space="preserve">Open space in the Special Flood Hazard Area (SFHA) </w:t>
                            </w:r>
                          </w:p>
                          <w:p w14:paraId="17DD04FA" w14:textId="138970EA" w:rsidR="00942251" w:rsidRPr="00162924" w:rsidRDefault="00942251" w:rsidP="00942251">
                            <w:pPr>
                              <w:rPr>
                                <w:rFonts w:hint="eastAsia"/>
                                <w:color w:val="FFFFFF" w:themeColor="background2"/>
                              </w:rPr>
                            </w:pPr>
                            <w:r w:rsidRPr="00162924">
                              <w:rPr>
                                <w:rFonts w:hint="eastAsia"/>
                                <w:color w:val="FFFFFF" w:themeColor="background2"/>
                              </w:rPr>
                              <w:t>While CIRCA</w:t>
                            </w:r>
                            <w:r w:rsidRPr="00162924">
                              <w:rPr>
                                <w:rFonts w:hint="eastAsia"/>
                                <w:color w:val="FFFFFF" w:themeColor="background2"/>
                              </w:rPr>
                              <w:t>’</w:t>
                            </w:r>
                            <w:r w:rsidRPr="00162924">
                              <w:rPr>
                                <w:rFonts w:hint="eastAsia"/>
                                <w:color w:val="FFFFFF" w:themeColor="background2"/>
                              </w:rPr>
                              <w:t xml:space="preserve">s Flood CCVI can be used to understand vulnerability throughout the region for all flood types, each of the flood types </w:t>
                            </w:r>
                            <w:r w:rsidR="00CB1232">
                              <w:rPr>
                                <w:color w:val="FFFFFF" w:themeColor="background2"/>
                              </w:rPr>
                              <w:t>is</w:t>
                            </w:r>
                            <w:r w:rsidR="00CB1232" w:rsidRPr="00162924">
                              <w:rPr>
                                <w:rFonts w:hint="eastAsia"/>
                                <w:color w:val="FFFFFF" w:themeColor="background2"/>
                              </w:rPr>
                              <w:t xml:space="preserve"> </w:t>
                            </w:r>
                            <w:r w:rsidR="00686E15" w:rsidRPr="00162924">
                              <w:rPr>
                                <w:rFonts w:hint="eastAsia"/>
                                <w:color w:val="FFFFFF" w:themeColor="background2"/>
                              </w:rPr>
                              <w:t>broken down in more detail below,</w:t>
                            </w:r>
                            <w:r w:rsidRPr="00162924">
                              <w:rPr>
                                <w:rFonts w:hint="eastAsia"/>
                                <w:color w:val="FFFFFF" w:themeColor="background2"/>
                              </w:rPr>
                              <w:t xml:space="preserve"> along with key planning information and best practices.</w:t>
                            </w:r>
                          </w:p>
                        </w:txbxContent>
                      </wps:txbx>
                      <wps:bodyPr rot="0" spcFirstLastPara="0" vertOverflow="overflow" horzOverflow="overflow" vert="horz" wrap="square" lIns="256032" tIns="256032" rIns="256032" bIns="256032" numCol="1" spcCol="0" rtlCol="0" fromWordArt="0" anchor="t" anchorCtr="0" forceAA="0" compatLnSpc="1">
                        <a:prstTxWarp prst="textNoShape">
                          <a:avLst/>
                        </a:prstTxWarp>
                        <a:noAutofit/>
                      </wps:bodyPr>
                    </wps:wsp>
                  </a:graphicData>
                </a:graphic>
              </wp:inline>
            </w:drawing>
          </mc:Choice>
          <mc:Fallback>
            <w:pict>
              <v:rect w14:anchorId="56C11079" id="_x0000_s1029" style="width:468pt;height:36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" fillcolor="#365389 [2406]" stroked="f">
                <v:textbox inset="20.16pt,20.16pt,20.16pt,20.16pt">
                  <w:txbxContent>
                    <w:p w14:paraId="076DBC4A" w14:textId="4B8EBC80" w:rsidR="00942251" w:rsidRPr="00162924" w:rsidRDefault="00942251" w:rsidP="00162924">
                      <w:pPr>
                        <w:pStyle w:val="Heading2"/>
                        <w:rPr>
                          <w:rFonts w:hint="eastAsia"/>
                          <w:color w:val="FFFFFF" w:themeColor="background1"/>
                        </w:rPr>
                      </w:pPr>
                      <w:bookmarkStart w:id="27" w:name="_Toc233228209"/>
                      <w:r w:rsidRPr="00162924">
                        <w:rPr>
                          <w:rFonts w:hint="eastAsia"/>
                          <w:color w:val="FFFFFF" w:themeColor="background1"/>
                        </w:rPr>
                        <w:t>Understanding Regional Vulnerability to Flooding</w:t>
                      </w:r>
                      <w:bookmarkEnd w:id="27"/>
                    </w:p>
                    <w:p w14:paraId="1AC395B0" w14:textId="779468E7" w:rsidR="00942251" w:rsidRPr="00162924" w:rsidRDefault="00942251" w:rsidP="00942251">
                      <w:pPr>
                        <w:rPr>
                          <w:rFonts w:hint="eastAsia"/>
                          <w:color w:val="FFFFFF" w:themeColor="background2"/>
                        </w:rPr>
                      </w:pPr>
                      <w:r w:rsidRPr="00162924">
                        <w:rPr>
                          <w:rFonts w:hint="eastAsia"/>
                          <w:color w:val="FFFFFF" w:themeColor="background2"/>
                        </w:rPr>
                        <w:t>To understand the region</w:t>
                      </w:r>
                      <w:r w:rsidRPr="00162924">
                        <w:rPr>
                          <w:rFonts w:hint="eastAsia"/>
                          <w:color w:val="FFFFFF" w:themeColor="background2"/>
                        </w:rPr>
                        <w:t>’</w:t>
                      </w:r>
                      <w:r w:rsidRPr="00162924">
                        <w:rPr>
                          <w:rFonts w:hint="eastAsia"/>
                          <w:color w:val="FFFFFF" w:themeColor="background2"/>
                        </w:rPr>
                        <w:t>s vulnerability to the flood types mentioned above, CIRCA developed a Flood CCVI</w:t>
                      </w:r>
                      <w:r w:rsidR="00CB1232">
                        <w:rPr>
                          <w:color w:val="FFFFFF" w:themeColor="background2"/>
                        </w:rPr>
                        <w:t xml:space="preserve"> </w:t>
                      </w:r>
                      <w:r w:rsidR="00CB1232" w:rsidRPr="00642FCA">
                        <w:rPr>
                          <w:color w:val="FFFFFF" w:themeColor="background2"/>
                        </w:rPr>
                        <w:t>for the state of Connecticut</w:t>
                      </w:r>
                      <w:r w:rsidRPr="00162924">
                        <w:rPr>
                          <w:rFonts w:hint="eastAsia"/>
                          <w:color w:val="FFFFFF" w:themeColor="background2"/>
                        </w:rPr>
                        <w:t xml:space="preserve"> that combines flood exposure, sensitivity, and adaptive capacity. </w:t>
                      </w:r>
                    </w:p>
                    <w:p w14:paraId="5C524BCA" w14:textId="77777777" w:rsidR="00942251" w:rsidRPr="00162924" w:rsidRDefault="00942251" w:rsidP="00942251">
                      <w:pPr>
                        <w:rPr>
                          <w:rFonts w:hint="eastAsia"/>
                          <w:color w:val="FFFFFF" w:themeColor="background2"/>
                        </w:rPr>
                      </w:pPr>
                      <w:r w:rsidRPr="00162924">
                        <w:rPr>
                          <w:rFonts w:hint="eastAsia"/>
                          <w:color w:val="FFFFFF" w:themeColor="background2"/>
                        </w:rPr>
                        <w:t xml:space="preserve">Flood Exposure in this model combines: </w:t>
                      </w:r>
                    </w:p>
                    <w:p w14:paraId="13ED136C" w14:textId="13114165" w:rsidR="00942251" w:rsidRPr="00162924" w:rsidRDefault="00942251" w:rsidP="00162924">
                      <w:pPr>
                        <w:pStyle w:val="ListParagraph"/>
                        <w:numPr>
                          <w:ilvl w:val="0"/>
                          <w:numId w:val="84"/>
                        </w:numPr>
                        <w:rPr>
                          <w:rFonts w:hint="eastAsia"/>
                          <w:color w:val="FFFFFF" w:themeColor="background2"/>
                        </w:rPr>
                      </w:pPr>
                      <w:r w:rsidRPr="00162924">
                        <w:rPr>
                          <w:rFonts w:hint="eastAsia"/>
                          <w:color w:val="FFFFFF" w:themeColor="background2"/>
                        </w:rPr>
                        <w:t>Storm surge, flood zone, and SLR exposure</w:t>
                      </w:r>
                    </w:p>
                    <w:p w14:paraId="5C326FD4" w14:textId="720A65B7" w:rsidR="00942251" w:rsidRPr="00162924" w:rsidRDefault="00942251" w:rsidP="00162924">
                      <w:pPr>
                        <w:pStyle w:val="ListParagraph"/>
                        <w:numPr>
                          <w:ilvl w:val="0"/>
                          <w:numId w:val="84"/>
                        </w:numPr>
                        <w:rPr>
                          <w:rFonts w:hint="eastAsia"/>
                          <w:color w:val="FFFFFF" w:themeColor="background2"/>
                        </w:rPr>
                      </w:pPr>
                      <w:r w:rsidRPr="00162924">
                        <w:rPr>
                          <w:rFonts w:hint="eastAsia"/>
                          <w:color w:val="FFFFFF" w:themeColor="background2"/>
                        </w:rPr>
                        <w:t>Soil drainage, erosion susceptibility, pooling areas, impervious surfaces, and a shoreline change rate</w:t>
                      </w:r>
                    </w:p>
                    <w:p w14:paraId="15F903FD" w14:textId="77777777" w:rsidR="00942251" w:rsidRPr="00162924" w:rsidRDefault="00942251" w:rsidP="00942251">
                      <w:pPr>
                        <w:rPr>
                          <w:rFonts w:hint="eastAsia"/>
                          <w:color w:val="FFFFFF" w:themeColor="background2"/>
                        </w:rPr>
                      </w:pPr>
                      <w:r w:rsidRPr="00162924">
                        <w:rPr>
                          <w:rFonts w:hint="eastAsia"/>
                          <w:color w:val="FFFFFF" w:themeColor="background2"/>
                        </w:rPr>
                        <w:t xml:space="preserve">Flood sensitivity combines: </w:t>
                      </w:r>
                    </w:p>
                    <w:p w14:paraId="7980DA2F" w14:textId="77777777" w:rsidR="00942251" w:rsidRPr="00162924" w:rsidRDefault="00942251" w:rsidP="00162924">
                      <w:pPr>
                        <w:pStyle w:val="ListParagraph"/>
                        <w:numPr>
                          <w:ilvl w:val="0"/>
                          <w:numId w:val="83"/>
                        </w:numPr>
                        <w:rPr>
                          <w:rFonts w:hint="eastAsia"/>
                          <w:color w:val="FFFFFF" w:themeColor="background2"/>
                        </w:rPr>
                      </w:pPr>
                      <w:r w:rsidRPr="00162924">
                        <w:rPr>
                          <w:rFonts w:hint="eastAsia"/>
                          <w:color w:val="FFFFFF" w:themeColor="background2"/>
                        </w:rPr>
                        <w:t>Proximity to critical facilities and critical habitats</w:t>
                      </w:r>
                    </w:p>
                    <w:p w14:paraId="58CE3A5D" w14:textId="4D8F9096" w:rsidR="00942251" w:rsidRPr="00162924" w:rsidRDefault="00942251" w:rsidP="00162924">
                      <w:pPr>
                        <w:pStyle w:val="ListParagraph"/>
                        <w:numPr>
                          <w:ilvl w:val="0"/>
                          <w:numId w:val="83"/>
                        </w:numPr>
                        <w:rPr>
                          <w:rFonts w:hint="eastAsia"/>
                          <w:color w:val="FFFFFF" w:themeColor="background2"/>
                        </w:rPr>
                      </w:pPr>
                      <w:r w:rsidRPr="00162924">
                        <w:rPr>
                          <w:rFonts w:hint="eastAsia"/>
                          <w:color w:val="FFFFFF" w:themeColor="background2"/>
                        </w:rPr>
                        <w:t>Social data such as median income, age, disability, and race</w:t>
                      </w:r>
                    </w:p>
                    <w:p w14:paraId="065C3D9B" w14:textId="77777777" w:rsidR="00942251" w:rsidRPr="00162924" w:rsidRDefault="00942251" w:rsidP="00942251">
                      <w:pPr>
                        <w:rPr>
                          <w:rFonts w:hint="eastAsia"/>
                          <w:color w:val="FFFFFF" w:themeColor="background2"/>
                        </w:rPr>
                      </w:pPr>
                      <w:r w:rsidRPr="00162924">
                        <w:rPr>
                          <w:rFonts w:hint="eastAsia"/>
                          <w:color w:val="FFFFFF" w:themeColor="background2"/>
                        </w:rPr>
                        <w:t xml:space="preserve">Flood adaptive capacity combines factors such as: </w:t>
                      </w:r>
                    </w:p>
                    <w:p w14:paraId="5E113A86" w14:textId="77777777" w:rsidR="00942251" w:rsidRPr="00162924" w:rsidRDefault="00942251" w:rsidP="00162924">
                      <w:pPr>
                        <w:pStyle w:val="ListParagraph"/>
                        <w:numPr>
                          <w:ilvl w:val="0"/>
                          <w:numId w:val="82"/>
                        </w:numPr>
                        <w:rPr>
                          <w:rFonts w:hint="eastAsia"/>
                          <w:color w:val="FFFFFF" w:themeColor="background2"/>
                        </w:rPr>
                      </w:pPr>
                      <w:r w:rsidRPr="00162924">
                        <w:rPr>
                          <w:rFonts w:hint="eastAsia"/>
                          <w:color w:val="FFFFFF" w:themeColor="background2"/>
                        </w:rPr>
                        <w:t xml:space="preserve">Distance to healthcare facilities, shelters, and major roadways </w:t>
                      </w:r>
                    </w:p>
                    <w:p w14:paraId="09C71610" w14:textId="77777777" w:rsidR="00942251" w:rsidRPr="00162924" w:rsidRDefault="00942251" w:rsidP="00162924">
                      <w:pPr>
                        <w:pStyle w:val="ListParagraph"/>
                        <w:numPr>
                          <w:ilvl w:val="0"/>
                          <w:numId w:val="82"/>
                        </w:numPr>
                        <w:rPr>
                          <w:rFonts w:hint="eastAsia"/>
                          <w:color w:val="FFFFFF" w:themeColor="background2"/>
                        </w:rPr>
                      </w:pPr>
                      <w:r w:rsidRPr="00162924">
                        <w:rPr>
                          <w:rFonts w:hint="eastAsia"/>
                          <w:color w:val="FFFFFF" w:themeColor="background2"/>
                        </w:rPr>
                        <w:t>Regulatory standards</w:t>
                      </w:r>
                    </w:p>
                    <w:p w14:paraId="1A0C1BE2" w14:textId="569938CA" w:rsidR="00942251" w:rsidRPr="00162924" w:rsidRDefault="00942251" w:rsidP="00162924">
                      <w:pPr>
                        <w:pStyle w:val="ListParagraph"/>
                        <w:numPr>
                          <w:ilvl w:val="0"/>
                          <w:numId w:val="82"/>
                        </w:numPr>
                        <w:rPr>
                          <w:rFonts w:hint="eastAsia"/>
                          <w:color w:val="FFFFFF" w:themeColor="background2"/>
                        </w:rPr>
                      </w:pPr>
                      <w:r w:rsidRPr="00162924">
                        <w:rPr>
                          <w:rFonts w:hint="eastAsia"/>
                          <w:color w:val="FFFFFF" w:themeColor="background2"/>
                        </w:rPr>
                        <w:t xml:space="preserve">Open space in the Special Flood Hazard Area (SFHA) </w:t>
                      </w:r>
                    </w:p>
                    <w:p w14:paraId="17DD04FA" w14:textId="138970EA" w:rsidR="00942251" w:rsidRPr="00162924" w:rsidRDefault="00942251" w:rsidP="00942251">
                      <w:pPr>
                        <w:rPr>
                          <w:rFonts w:hint="eastAsia"/>
                          <w:color w:val="FFFFFF" w:themeColor="background2"/>
                        </w:rPr>
                      </w:pPr>
                      <w:r w:rsidRPr="00162924">
                        <w:rPr>
                          <w:rFonts w:hint="eastAsia"/>
                          <w:color w:val="FFFFFF" w:themeColor="background2"/>
                        </w:rPr>
                        <w:t>While CIRCA</w:t>
                      </w:r>
                      <w:r w:rsidRPr="00162924">
                        <w:rPr>
                          <w:rFonts w:hint="eastAsia"/>
                          <w:color w:val="FFFFFF" w:themeColor="background2"/>
                        </w:rPr>
                        <w:t>’</w:t>
                      </w:r>
                      <w:r w:rsidRPr="00162924">
                        <w:rPr>
                          <w:rFonts w:hint="eastAsia"/>
                          <w:color w:val="FFFFFF" w:themeColor="background2"/>
                        </w:rPr>
                        <w:t xml:space="preserve">s Flood CCVI can be used to understand vulnerability throughout the region for all flood types, each of the flood types </w:t>
                      </w:r>
                      <w:r w:rsidR="00CB1232">
                        <w:rPr>
                          <w:color w:val="FFFFFF" w:themeColor="background2"/>
                        </w:rPr>
                        <w:t>is</w:t>
                      </w:r>
                      <w:r w:rsidR="00CB1232" w:rsidRPr="00162924">
                        <w:rPr>
                          <w:rFonts w:hint="eastAsia"/>
                          <w:color w:val="FFFFFF" w:themeColor="background2"/>
                        </w:rPr>
                        <w:t xml:space="preserve"> </w:t>
                      </w:r>
                      <w:r w:rsidR="00686E15" w:rsidRPr="00162924">
                        <w:rPr>
                          <w:rFonts w:hint="eastAsia"/>
                          <w:color w:val="FFFFFF" w:themeColor="background2"/>
                        </w:rPr>
                        <w:t>broken down in more detail below,</w:t>
                      </w:r>
                      <w:r w:rsidRPr="00162924">
                        <w:rPr>
                          <w:rFonts w:hint="eastAsia"/>
                          <w:color w:val="FFFFFF" w:themeColor="background2"/>
                        </w:rPr>
                        <w:t xml:space="preserve"> along with key planning information and best practices.</w:t>
                      </w:r>
                    </w:p>
                  </w:txbxContent>
                </v:textbox>
                <w10:anchorlock/>
              </v:rect>
            </w:pict>
          </mc:Fallback>
        </mc:AlternateContent>
      </w:r>
    </w:p>
    <w:p w14:paraId="24C59173" w14:textId="193783FC" w:rsidR="00876D6E" w:rsidRPr="00511A36" w:rsidRDefault="00876D6E" w:rsidP="00734799">
      <w:pPr>
        <w:pStyle w:val="Heading2"/>
        <w:rPr>
          <w:rFonts w:hint="eastAsia"/>
        </w:rPr>
      </w:pPr>
      <w:bookmarkStart w:id="28" w:name="_Toc233228210"/>
      <w:r w:rsidRPr="00511A36">
        <w:t xml:space="preserve">Rainfall </w:t>
      </w:r>
      <w:r w:rsidR="007C0916" w:rsidRPr="00511A36">
        <w:t xml:space="preserve">(Pluvial) </w:t>
      </w:r>
      <w:r w:rsidRPr="00511A36">
        <w:t>Flooding</w:t>
      </w:r>
      <w:bookmarkEnd w:id="28"/>
    </w:p>
    <w:p w14:paraId="05D848BE" w14:textId="0092087C" w:rsidR="00180F37" w:rsidRPr="00511A36" w:rsidRDefault="00876D6E" w:rsidP="004D42B8">
      <w:pPr>
        <w:rPr>
          <w:rFonts w:hint="eastAsia"/>
        </w:rPr>
      </w:pPr>
      <w:r w:rsidRPr="00511A36">
        <w:t xml:space="preserve">Rainfall, or pluvial, flooding </w:t>
      </w:r>
      <w:r w:rsidR="00122C16" w:rsidRPr="00511A36">
        <w:t xml:space="preserve">affects </w:t>
      </w:r>
      <w:r w:rsidR="004B20C0">
        <w:t>both inland and coastal areas</w:t>
      </w:r>
      <w:r w:rsidR="00122C16" w:rsidRPr="00511A36">
        <w:t xml:space="preserve"> </w:t>
      </w:r>
      <w:r w:rsidRPr="00511A36">
        <w:t xml:space="preserve">when runoff overwhelms natural or built drainage systems, leading to stormwater flooding and ponding. Due to </w:t>
      </w:r>
      <w:r w:rsidR="004B20C0">
        <w:t>increased precipitation intensity</w:t>
      </w:r>
      <w:r w:rsidR="00BE5064">
        <w:t xml:space="preserve"> described </w:t>
      </w:r>
      <w:r w:rsidR="00BE1392">
        <w:t>below</w:t>
      </w:r>
      <w:r w:rsidR="004B20C0">
        <w:t xml:space="preserve">, a </w:t>
      </w:r>
      <w:r w:rsidR="00593240">
        <w:t xml:space="preserve">greater </w:t>
      </w:r>
      <w:r w:rsidR="00BE1392">
        <w:t>volume</w:t>
      </w:r>
      <w:r w:rsidR="004B20C0">
        <w:t xml:space="preserve"> of precipitation is expected to run off as</w:t>
      </w:r>
      <w:r w:rsidRPr="00511A36">
        <w:t xml:space="preserve"> surface </w:t>
      </w:r>
      <w:r w:rsidR="007607BB" w:rsidRPr="00511A36">
        <w:t>flows</w:t>
      </w:r>
      <w:r w:rsidR="007D6F64">
        <w:t>,</w:t>
      </w:r>
      <w:r w:rsidR="007607BB" w:rsidRPr="00511A36">
        <w:t xml:space="preserve"> </w:t>
      </w:r>
      <w:r w:rsidR="00593240">
        <w:t>with</w:t>
      </w:r>
      <w:r w:rsidR="00593240" w:rsidRPr="00511A36">
        <w:t xml:space="preserve"> </w:t>
      </w:r>
      <w:r w:rsidRPr="00511A36">
        <w:t xml:space="preserve">less retained in the soil. </w:t>
      </w:r>
      <w:r w:rsidR="00980F4F" w:rsidRPr="00511A36">
        <w:t>T</w:t>
      </w:r>
      <w:r w:rsidRPr="00511A36">
        <w:t xml:space="preserve">ogether with the </w:t>
      </w:r>
      <w:r w:rsidR="003E1642" w:rsidRPr="00511A36">
        <w:t>temperature-induced</w:t>
      </w:r>
      <w:r w:rsidRPr="00511A36">
        <w:t xml:space="preserve"> acceleration of evapotranspiration</w:t>
      </w:r>
      <w:r w:rsidR="003C38A2" w:rsidRPr="00511A36">
        <w:t xml:space="preserve"> (the </w:t>
      </w:r>
      <w:r w:rsidR="00865E82" w:rsidRPr="00511A36">
        <w:t>sum of all processes by which water moves from the land surface to the atmosphere via evaporation and transpiration)</w:t>
      </w:r>
      <w:r w:rsidRPr="00511A36">
        <w:t xml:space="preserve">, </w:t>
      </w:r>
      <w:r w:rsidR="00980F4F" w:rsidRPr="00511A36">
        <w:t>there is an expected</w:t>
      </w:r>
      <w:r w:rsidRPr="00511A36">
        <w:t xml:space="preserve"> increase </w:t>
      </w:r>
      <w:r w:rsidR="00980F4F" w:rsidRPr="00511A36">
        <w:t xml:space="preserve">in </w:t>
      </w:r>
      <w:r w:rsidR="007D6F64">
        <w:t xml:space="preserve">the risk of </w:t>
      </w:r>
      <w:r w:rsidR="003E1642" w:rsidRPr="00511A36">
        <w:t xml:space="preserve">rainfall-induced </w:t>
      </w:r>
      <w:r w:rsidRPr="00511A36">
        <w:t>flooding</w:t>
      </w:r>
      <w:r w:rsidR="00980F4F" w:rsidRPr="00511A36">
        <w:t xml:space="preserve">. </w:t>
      </w:r>
      <w:r w:rsidR="00E26736">
        <w:t xml:space="preserve">As such, rainfall-driven flooding in the context of </w:t>
      </w:r>
      <w:r w:rsidR="00651EAC">
        <w:t xml:space="preserve">precipitation </w:t>
      </w:r>
      <w:r w:rsidR="00E26736">
        <w:t>must be discussed.</w:t>
      </w:r>
    </w:p>
    <w:p w14:paraId="3B4FAF0D" w14:textId="7CAAC5DA" w:rsidR="00E26736" w:rsidRPr="00843358" w:rsidRDefault="00E26736" w:rsidP="00734799">
      <w:pPr>
        <w:pStyle w:val="Heading3"/>
        <w:rPr>
          <w:rFonts w:hint="eastAsia"/>
          <w:caps/>
        </w:rPr>
      </w:pPr>
      <w:bookmarkStart w:id="29" w:name="_Toc233228211"/>
      <w:r w:rsidRPr="00843358">
        <w:t>Precipitation</w:t>
      </w:r>
      <w:r w:rsidR="00E62F9B" w:rsidRPr="00843358">
        <w:t xml:space="preserve"> Trends</w:t>
      </w:r>
      <w:bookmarkEnd w:id="29"/>
    </w:p>
    <w:p w14:paraId="543CDEB3" w14:textId="23005B4C" w:rsidR="00BE5064" w:rsidRPr="002508EE" w:rsidRDefault="00BE5064" w:rsidP="00BE5064">
      <w:pPr>
        <w:rPr>
          <w:rFonts w:hint="eastAsia"/>
        </w:rPr>
      </w:pPr>
      <w:r w:rsidRPr="002508EE">
        <w:t xml:space="preserve">Average annual precipitation </w:t>
      </w:r>
      <w:r w:rsidR="00CD59DB">
        <w:t>(</w:t>
      </w:r>
      <w:r w:rsidR="00273861">
        <w:t>“</w:t>
      </w:r>
      <w:r w:rsidRPr="002508EE">
        <w:t>climate</w:t>
      </w:r>
      <w:r w:rsidR="00CD59DB">
        <w:t>-</w:t>
      </w:r>
      <w:r w:rsidRPr="002508EE">
        <w:t>normal precipitation</w:t>
      </w:r>
      <w:r w:rsidR="00273861">
        <w:t>”</w:t>
      </w:r>
      <w:r w:rsidR="00CD59DB">
        <w:t xml:space="preserve">, </w:t>
      </w:r>
      <w:r w:rsidR="00CD59DB" w:rsidRPr="002508EE">
        <w:t>based on PRISM</w:t>
      </w:r>
      <w:r w:rsidR="00CD59DB" w:rsidRPr="002508EE">
        <w:rPr>
          <w:rStyle w:val="FootnoteReference"/>
        </w:rPr>
        <w:footnoteReference w:id="1"/>
      </w:r>
      <w:r w:rsidR="00CD59DB" w:rsidRPr="002508EE">
        <w:t xml:space="preserve"> data for 1991-2020</w:t>
      </w:r>
      <w:r w:rsidR="00CD59DB">
        <w:t xml:space="preserve">) </w:t>
      </w:r>
      <w:r w:rsidR="00CD59DB" w:rsidRPr="002508EE">
        <w:t>for WestCOG communities</w:t>
      </w:r>
      <w:r w:rsidRPr="002508EE">
        <w:t xml:space="preserve"> ranges from approximately 48 to 52 inches per year, with precipitation totals increasing from the coast to higher elevations and hilly terrain. Average annual precipitation has increased over the 20</w:t>
      </w:r>
      <w:r w:rsidRPr="002508EE">
        <w:rPr>
          <w:vertAlign w:val="superscript"/>
        </w:rPr>
        <w:t>th</w:t>
      </w:r>
      <w:r w:rsidRPr="002508EE">
        <w:t xml:space="preserve"> and early 21</w:t>
      </w:r>
      <w:r w:rsidRPr="002508EE">
        <w:rPr>
          <w:vertAlign w:val="superscript"/>
        </w:rPr>
        <w:t>st</w:t>
      </w:r>
      <w:r w:rsidRPr="002508EE">
        <w:t xml:space="preserve"> centuries, especially since the 1970s, and future projections indicate a continuing trend toward </w:t>
      </w:r>
      <w:r w:rsidR="00A1484F">
        <w:t>more</w:t>
      </w:r>
      <w:r w:rsidR="00A1484F" w:rsidRPr="002508EE">
        <w:t xml:space="preserve"> frequen</w:t>
      </w:r>
      <w:r w:rsidR="00A1484F">
        <w:t>t</w:t>
      </w:r>
      <w:r w:rsidR="00A1484F" w:rsidRPr="002508EE">
        <w:t xml:space="preserve"> </w:t>
      </w:r>
      <w:r w:rsidRPr="002508EE">
        <w:t xml:space="preserve">and </w:t>
      </w:r>
      <w:r w:rsidR="00646196">
        <w:t xml:space="preserve">more </w:t>
      </w:r>
      <w:r w:rsidR="00646196" w:rsidRPr="002508EE">
        <w:t>intens</w:t>
      </w:r>
      <w:r w:rsidR="00646196">
        <w:t>e</w:t>
      </w:r>
      <w:r w:rsidR="00646196" w:rsidRPr="002508EE">
        <w:t xml:space="preserve"> </w:t>
      </w:r>
      <w:r w:rsidRPr="002508EE">
        <w:t xml:space="preserve">extreme precipitation. </w:t>
      </w:r>
    </w:p>
    <w:p w14:paraId="30061B2A" w14:textId="56F58D31" w:rsidR="00BE5064" w:rsidRPr="002508EE" w:rsidRDefault="00297AF8" w:rsidP="00BE5064">
      <w:pPr>
        <w:rPr>
          <w:rFonts w:hint="eastAsia"/>
        </w:rPr>
      </w:pPr>
      <w:r>
        <w:rPr>
          <w:b/>
          <w:bCs/>
        </w:rPr>
        <w:t xml:space="preserve">Increased </w:t>
      </w:r>
      <w:r w:rsidR="00BE5064" w:rsidRPr="002508EE">
        <w:rPr>
          <w:b/>
          <w:bCs/>
        </w:rPr>
        <w:t xml:space="preserve">Annual Precipitation. </w:t>
      </w:r>
      <w:r w:rsidR="00BE5064" w:rsidRPr="002508EE">
        <w:t>According to the CTPCSA Report, in a high CO</w:t>
      </w:r>
      <w:r w:rsidR="00BE5064" w:rsidRPr="002508EE">
        <w:rPr>
          <w:vertAlign w:val="subscript"/>
        </w:rPr>
        <w:t>2</w:t>
      </w:r>
      <w:r w:rsidR="00BE5064" w:rsidRPr="002508EE">
        <w:t>-emissions scenario, Representative Concentration Pathway (RCP) 8.5, the annual precipitation across the state is projected to increase by 8.5% (4-5 inches) and 9.5% (4.5-5.5 inches), by mid- and late-century, respectively, with the greatest increase projected in the winter (13.4% and 16.3% by mid- and late-century, respectively) and spring (10% and 16.5% by mid- and late-century, respectively).</w:t>
      </w:r>
      <w:r w:rsidR="00BE5064" w:rsidRPr="002508EE">
        <w:rPr>
          <w:rStyle w:val="FootnoteReference"/>
        </w:rPr>
        <w:footnoteReference w:id="2"/>
      </w:r>
      <w:r w:rsidR="00BE5064" w:rsidRPr="002508EE">
        <w:t xml:space="preserve"> </w:t>
      </w:r>
    </w:p>
    <w:p w14:paraId="754CE03D" w14:textId="7094CF50" w:rsidR="00BE5064" w:rsidRPr="002508EE" w:rsidRDefault="00297AF8" w:rsidP="00BE5064">
      <w:pPr>
        <w:rPr>
          <w:rFonts w:hint="eastAsia"/>
        </w:rPr>
      </w:pPr>
      <w:r>
        <w:rPr>
          <w:b/>
          <w:bCs/>
        </w:rPr>
        <w:t xml:space="preserve">Increased </w:t>
      </w:r>
      <w:r w:rsidR="00BE5064" w:rsidRPr="002508EE">
        <w:rPr>
          <w:b/>
          <w:bCs/>
        </w:rPr>
        <w:t xml:space="preserve">Storm </w:t>
      </w:r>
      <w:r>
        <w:rPr>
          <w:b/>
          <w:bCs/>
        </w:rPr>
        <w:t>I</w:t>
      </w:r>
      <w:r w:rsidR="00BE5064" w:rsidRPr="002508EE">
        <w:rPr>
          <w:b/>
          <w:bCs/>
        </w:rPr>
        <w:t>ntensity.</w:t>
      </w:r>
      <w:r w:rsidR="00BE5064" w:rsidRPr="002508EE">
        <w:t xml:space="preserve"> Precipitation Frequency Estimates (PFEs) are statistical calculations used to determine the probability of an expected precipitation amount (in inches) likely to fall within a certain time (minutes to hours) at a given location, </w:t>
      </w:r>
      <w:proofErr w:type="gramStart"/>
      <w:r w:rsidR="00BE5064" w:rsidRPr="002508EE">
        <w:t>in a given year</w:t>
      </w:r>
      <w:proofErr w:type="gramEnd"/>
      <w:r w:rsidR="00BE5064" w:rsidRPr="002508EE">
        <w:t xml:space="preserve">. PFE probabilities are represented by Average Recurrence Intervals (ARIs), or the estimated time, in years, between occurrences. A “1-year” storm has a 100% chance of occurring </w:t>
      </w:r>
      <w:proofErr w:type="gramStart"/>
      <w:r w:rsidR="00BE5064" w:rsidRPr="002508EE">
        <w:t>in a given year</w:t>
      </w:r>
      <w:proofErr w:type="gramEnd"/>
      <w:r w:rsidR="00BE5064" w:rsidRPr="002508EE">
        <w:t>, where</w:t>
      </w:r>
      <w:r w:rsidR="00CD7EE6">
        <w:t>as</w:t>
      </w:r>
      <w:r w:rsidR="00BE5064" w:rsidRPr="002508EE">
        <w:t xml:space="preserve"> a “100-year" storm has a 1% chance of occurrence. A common PFE used for asset design is the “24-hour, 100-year rainfall”, which represents the 24-hour rainfall total that is expected 1% of the time. </w:t>
      </w:r>
    </w:p>
    <w:p w14:paraId="343A0C8E" w14:textId="0A5C248F" w:rsidR="00BE5064" w:rsidRPr="002508EE" w:rsidRDefault="00BE5064" w:rsidP="00734799">
      <w:pPr>
        <w:rPr>
          <w:rFonts w:hint="eastAsia"/>
        </w:rPr>
      </w:pPr>
      <w:r w:rsidRPr="002508EE">
        <w:t>For the Northeastern States, PFEs were published by NOAA in 2015 and updated in 2019 as NOAA Atlas 14</w:t>
      </w:r>
      <w:r w:rsidR="007D7926">
        <w:t>,</w:t>
      </w:r>
      <w:r w:rsidRPr="002508EE">
        <w:t xml:space="preserve"> Volume 10</w:t>
      </w:r>
      <w:r w:rsidR="007D7926">
        <w:t>,</w:t>
      </w:r>
      <w:r w:rsidRPr="002508EE">
        <w:t xml:space="preserve"> Version 3.0 (NOAA14).</w:t>
      </w:r>
      <w:r w:rsidRPr="002508EE">
        <w:rPr>
          <w:rStyle w:val="FootnoteReference"/>
        </w:rPr>
        <w:footnoteReference w:id="3"/>
      </w:r>
      <w:r w:rsidRPr="002508EE">
        <w:t xml:space="preserve"> Additional PFEs are also available from the </w:t>
      </w:r>
      <w:r w:rsidR="00E95C09">
        <w:t>NRCC’s</w:t>
      </w:r>
      <w:r w:rsidRPr="002508EE">
        <w:t xml:space="preserve"> Extreme Precipitation in New York &amp; New England.</w:t>
      </w:r>
      <w:r w:rsidRPr="002508EE">
        <w:rPr>
          <w:rStyle w:val="FootnoteReference"/>
        </w:rPr>
        <w:footnoteReference w:id="4"/>
      </w:r>
      <w:r w:rsidRPr="002508EE">
        <w:t xml:space="preserve"> A sample of 24-hour PFEs for select ARIs at Norwalk, CT, is found in </w:t>
      </w:r>
      <w:r w:rsidR="002764DD" w:rsidRPr="00843358">
        <w:rPr>
          <w:highlight w:val="yellow"/>
        </w:rPr>
        <w:fldChar w:fldCharType="begin" w:fldLock="1"/>
      </w:r>
      <w:r w:rsidR="002764DD" w:rsidRPr="00843358">
        <w:instrText xml:space="preserve"> REF _Ref228888103 \h </w:instrText>
      </w:r>
      <w:r w:rsidR="005E43AE" w:rsidRPr="00843358">
        <w:rPr>
          <w:highlight w:val="yellow"/>
        </w:rPr>
        <w:instrText xml:space="preserve"> \* MERGEFORMAT </w:instrText>
      </w:r>
      <w:r w:rsidR="002764DD" w:rsidRPr="00843358">
        <w:rPr>
          <w:highlight w:val="yellow"/>
        </w:rPr>
      </w:r>
      <w:r w:rsidR="002764DD" w:rsidRPr="00843358">
        <w:rPr>
          <w:highlight w:val="yellow"/>
        </w:rPr>
        <w:fldChar w:fldCharType="separate"/>
      </w:r>
      <w:r w:rsidR="00AB64CB">
        <w:t xml:space="preserve">Table </w:t>
      </w:r>
      <w:r w:rsidR="00AB64CB">
        <w:rPr>
          <w:noProof/>
        </w:rPr>
        <w:t>5</w:t>
      </w:r>
      <w:r w:rsidR="002764DD" w:rsidRPr="00843358">
        <w:rPr>
          <w:highlight w:val="yellow"/>
        </w:rPr>
        <w:fldChar w:fldCharType="end"/>
      </w:r>
      <w:r w:rsidRPr="00843358">
        <w:t xml:space="preserve"> below:</w:t>
      </w:r>
    </w:p>
    <w:p w14:paraId="0AB235CB" w14:textId="7498B683" w:rsidR="002764DD" w:rsidRDefault="002764DD" w:rsidP="00734799">
      <w:pPr>
        <w:pStyle w:val="Caption"/>
        <w:keepNext/>
        <w:rPr>
          <w:rFonts w:hint="eastAsia"/>
        </w:rPr>
      </w:pPr>
      <w:bookmarkStart w:id="30" w:name="_Ref228888103"/>
      <w:bookmarkStart w:id="31" w:name="_Toc233227498"/>
      <w:r w:rsidRPr="00162924">
        <w:rPr>
          <w:rFonts w:hint="eastAsia"/>
          <w:b/>
          <w:bCs/>
        </w:rPr>
        <w:t xml:space="preserve">Table </w:t>
      </w:r>
      <w:r w:rsidRPr="00162924">
        <w:rPr>
          <w:b/>
          <w:bCs/>
        </w:rPr>
        <w:fldChar w:fldCharType="begin"/>
      </w:r>
      <w:r w:rsidRPr="00162924">
        <w:rPr>
          <w:rFonts w:hint="eastAsia"/>
          <w:b/>
          <w:bCs/>
        </w:rPr>
        <w:instrText xml:space="preserve"> SEQ Table \* ARABIC </w:instrText>
      </w:r>
      <w:r w:rsidRPr="00162924">
        <w:rPr>
          <w:b/>
          <w:bCs/>
        </w:rPr>
        <w:fldChar w:fldCharType="separate"/>
      </w:r>
      <w:r w:rsidR="00AB64CB" w:rsidRPr="00162924">
        <w:rPr>
          <w:rFonts w:hint="eastAsia"/>
          <w:b/>
          <w:bCs/>
          <w:noProof/>
        </w:rPr>
        <w:t>5</w:t>
      </w:r>
      <w:r w:rsidRPr="00162924">
        <w:rPr>
          <w:b/>
          <w:bCs/>
          <w:noProof/>
        </w:rPr>
        <w:fldChar w:fldCharType="end"/>
      </w:r>
      <w:bookmarkEnd w:id="30"/>
      <w:r w:rsidRPr="00162924">
        <w:rPr>
          <w:rFonts w:hint="eastAsia"/>
          <w:b/>
          <w:bCs/>
        </w:rPr>
        <w:t>.</w:t>
      </w:r>
      <w:r>
        <w:t xml:space="preserve"> </w:t>
      </w:r>
      <w:r w:rsidRPr="001518FE">
        <w:t>Comparison of 24-hour PFEs (inches) for selected ARIs (years) for Norwalk, CT.</w:t>
      </w:r>
      <w:bookmarkEnd w:id="31"/>
      <w:r w:rsidRPr="001518FE">
        <w:t xml:space="preserve"> </w:t>
      </w:r>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10"/>
        <w:gridCol w:w="810"/>
        <w:gridCol w:w="811"/>
        <w:gridCol w:w="923"/>
        <w:gridCol w:w="923"/>
        <w:gridCol w:w="923"/>
        <w:gridCol w:w="1037"/>
        <w:gridCol w:w="1038"/>
        <w:gridCol w:w="1038"/>
      </w:tblGrid>
      <w:tr w:rsidR="00BE5064" w:rsidRPr="002508EE" w14:paraId="16B04499" w14:textId="77777777" w:rsidTr="0073479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200623A" w14:textId="77777777" w:rsidR="00BE5064" w:rsidRPr="002508EE" w:rsidRDefault="00BE5064">
            <w:pPr>
              <w:jc w:val="center"/>
              <w:rPr>
                <w:rFonts w:hint="eastAsia"/>
              </w:rPr>
            </w:pPr>
            <w:r w:rsidRPr="002508EE">
              <w:t>Source</w:t>
            </w:r>
          </w:p>
        </w:tc>
        <w:tc>
          <w:tcPr>
            <w:tcW w:w="0" w:type="auto"/>
            <w:vAlign w:val="center"/>
          </w:tcPr>
          <w:p w14:paraId="53C51F37"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1-year</w:t>
            </w:r>
          </w:p>
        </w:tc>
        <w:tc>
          <w:tcPr>
            <w:tcW w:w="0" w:type="auto"/>
            <w:vAlign w:val="center"/>
          </w:tcPr>
          <w:p w14:paraId="4C4B5A25"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2-year</w:t>
            </w:r>
          </w:p>
        </w:tc>
        <w:tc>
          <w:tcPr>
            <w:tcW w:w="0" w:type="auto"/>
            <w:vAlign w:val="center"/>
          </w:tcPr>
          <w:p w14:paraId="01CE1D21"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5-year</w:t>
            </w:r>
          </w:p>
        </w:tc>
        <w:tc>
          <w:tcPr>
            <w:tcW w:w="0" w:type="auto"/>
            <w:vAlign w:val="center"/>
          </w:tcPr>
          <w:p w14:paraId="5B402CBD"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10-year</w:t>
            </w:r>
          </w:p>
        </w:tc>
        <w:tc>
          <w:tcPr>
            <w:tcW w:w="0" w:type="auto"/>
            <w:vAlign w:val="center"/>
          </w:tcPr>
          <w:p w14:paraId="48013FE1"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25-year</w:t>
            </w:r>
          </w:p>
        </w:tc>
        <w:tc>
          <w:tcPr>
            <w:tcW w:w="0" w:type="auto"/>
            <w:vAlign w:val="center"/>
          </w:tcPr>
          <w:p w14:paraId="72FC76D3"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50-year</w:t>
            </w:r>
          </w:p>
        </w:tc>
        <w:tc>
          <w:tcPr>
            <w:tcW w:w="0" w:type="auto"/>
            <w:vAlign w:val="center"/>
          </w:tcPr>
          <w:p w14:paraId="5A675F8E"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100-year</w:t>
            </w:r>
          </w:p>
        </w:tc>
        <w:tc>
          <w:tcPr>
            <w:tcW w:w="0" w:type="auto"/>
            <w:vAlign w:val="center"/>
          </w:tcPr>
          <w:p w14:paraId="4AC9C1CC"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200-year</w:t>
            </w:r>
          </w:p>
        </w:tc>
        <w:tc>
          <w:tcPr>
            <w:tcW w:w="0" w:type="auto"/>
            <w:vAlign w:val="center"/>
          </w:tcPr>
          <w:p w14:paraId="391C8893" w14:textId="77777777" w:rsidR="00BE5064" w:rsidRPr="002508EE" w:rsidRDefault="00BE5064">
            <w:pPr>
              <w:jc w:val="center"/>
              <w:cnfStyle w:val="100000000000" w:firstRow="1" w:lastRow="0" w:firstColumn="0" w:lastColumn="0" w:oddVBand="0" w:evenVBand="0" w:oddHBand="0" w:evenHBand="0" w:firstRowFirstColumn="0" w:firstRowLastColumn="0" w:lastRowFirstColumn="0" w:lastRowLastColumn="0"/>
              <w:rPr>
                <w:rFonts w:hint="eastAsia"/>
              </w:rPr>
            </w:pPr>
            <w:r w:rsidRPr="002508EE">
              <w:t>500-year</w:t>
            </w:r>
          </w:p>
        </w:tc>
      </w:tr>
      <w:tr w:rsidR="00BE5064" w:rsidRPr="002508EE" w14:paraId="4886CE0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446938" w14:textId="77777777" w:rsidR="00BE5064" w:rsidRPr="002508EE" w:rsidRDefault="00BE5064">
            <w:pPr>
              <w:rPr>
                <w:rFonts w:hint="eastAsia"/>
              </w:rPr>
            </w:pPr>
            <w:r w:rsidRPr="002508EE">
              <w:t>NOAA14</w:t>
            </w:r>
          </w:p>
        </w:tc>
        <w:tc>
          <w:tcPr>
            <w:tcW w:w="0" w:type="auto"/>
            <w:vAlign w:val="center"/>
          </w:tcPr>
          <w:p w14:paraId="72852F54"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2.88</w:t>
            </w:r>
          </w:p>
        </w:tc>
        <w:tc>
          <w:tcPr>
            <w:tcW w:w="0" w:type="auto"/>
            <w:vAlign w:val="center"/>
          </w:tcPr>
          <w:p w14:paraId="7A75AD3D"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3.49</w:t>
            </w:r>
          </w:p>
        </w:tc>
        <w:tc>
          <w:tcPr>
            <w:tcW w:w="0" w:type="auto"/>
            <w:vAlign w:val="center"/>
          </w:tcPr>
          <w:p w14:paraId="0F83FA85"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4.50</w:t>
            </w:r>
          </w:p>
        </w:tc>
        <w:tc>
          <w:tcPr>
            <w:tcW w:w="0" w:type="auto"/>
            <w:vAlign w:val="center"/>
          </w:tcPr>
          <w:p w14:paraId="552E6F72"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5.34</w:t>
            </w:r>
          </w:p>
        </w:tc>
        <w:tc>
          <w:tcPr>
            <w:tcW w:w="0" w:type="auto"/>
            <w:vAlign w:val="center"/>
          </w:tcPr>
          <w:p w14:paraId="71764BEB"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6.49</w:t>
            </w:r>
          </w:p>
        </w:tc>
        <w:tc>
          <w:tcPr>
            <w:tcW w:w="0" w:type="auto"/>
            <w:vAlign w:val="center"/>
          </w:tcPr>
          <w:p w14:paraId="624B589A"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7.34</w:t>
            </w:r>
          </w:p>
        </w:tc>
        <w:tc>
          <w:tcPr>
            <w:tcW w:w="0" w:type="auto"/>
            <w:vAlign w:val="center"/>
          </w:tcPr>
          <w:p w14:paraId="7F92EAE0"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8.26</w:t>
            </w:r>
          </w:p>
        </w:tc>
        <w:tc>
          <w:tcPr>
            <w:tcW w:w="0" w:type="auto"/>
            <w:vAlign w:val="center"/>
          </w:tcPr>
          <w:p w14:paraId="424998E6"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9.34</w:t>
            </w:r>
          </w:p>
        </w:tc>
        <w:tc>
          <w:tcPr>
            <w:tcW w:w="0" w:type="auto"/>
            <w:vAlign w:val="center"/>
          </w:tcPr>
          <w:p w14:paraId="1C7B7D68" w14:textId="77777777" w:rsidR="00BE5064" w:rsidRPr="002508EE" w:rsidRDefault="00BE5064">
            <w:pPr>
              <w:jc w:val="center"/>
              <w:cnfStyle w:val="000000100000" w:firstRow="0" w:lastRow="0" w:firstColumn="0" w:lastColumn="0" w:oddVBand="0" w:evenVBand="0" w:oddHBand="1" w:evenHBand="0" w:firstRowFirstColumn="0" w:firstRowLastColumn="0" w:lastRowFirstColumn="0" w:lastRowLastColumn="0"/>
              <w:rPr>
                <w:rFonts w:hint="eastAsia"/>
              </w:rPr>
            </w:pPr>
            <w:r w:rsidRPr="002508EE">
              <w:t>11.00</w:t>
            </w:r>
          </w:p>
        </w:tc>
      </w:tr>
      <w:tr w:rsidR="00BE5064" w:rsidRPr="002508EE" w14:paraId="6209D577" w14:textId="77777777">
        <w:tc>
          <w:tcPr>
            <w:cnfStyle w:val="001000000000" w:firstRow="0" w:lastRow="0" w:firstColumn="1" w:lastColumn="0" w:oddVBand="0" w:evenVBand="0" w:oddHBand="0" w:evenHBand="0" w:firstRowFirstColumn="0" w:firstRowLastColumn="0" w:lastRowFirstColumn="0" w:lastRowLastColumn="0"/>
            <w:tcW w:w="0" w:type="auto"/>
            <w:vAlign w:val="center"/>
          </w:tcPr>
          <w:p w14:paraId="769BCFAA" w14:textId="77777777" w:rsidR="00BE5064" w:rsidRPr="002508EE" w:rsidRDefault="00BE5064">
            <w:pPr>
              <w:rPr>
                <w:rFonts w:hint="eastAsia"/>
              </w:rPr>
            </w:pPr>
            <w:r w:rsidRPr="002508EE">
              <w:t>NRCC</w:t>
            </w:r>
          </w:p>
        </w:tc>
        <w:tc>
          <w:tcPr>
            <w:tcW w:w="0" w:type="auto"/>
            <w:vAlign w:val="center"/>
          </w:tcPr>
          <w:p w14:paraId="527AB221"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2.87</w:t>
            </w:r>
          </w:p>
        </w:tc>
        <w:tc>
          <w:tcPr>
            <w:tcW w:w="0" w:type="auto"/>
            <w:vAlign w:val="center"/>
          </w:tcPr>
          <w:p w14:paraId="4810821E"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3.45</w:t>
            </w:r>
          </w:p>
        </w:tc>
        <w:tc>
          <w:tcPr>
            <w:tcW w:w="0" w:type="auto"/>
            <w:vAlign w:val="center"/>
          </w:tcPr>
          <w:p w14:paraId="3C5C827B"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4.31</w:t>
            </w:r>
          </w:p>
        </w:tc>
        <w:tc>
          <w:tcPr>
            <w:tcW w:w="0" w:type="auto"/>
            <w:vAlign w:val="center"/>
          </w:tcPr>
          <w:p w14:paraId="44066A65"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5.10</w:t>
            </w:r>
          </w:p>
        </w:tc>
        <w:tc>
          <w:tcPr>
            <w:tcW w:w="0" w:type="auto"/>
            <w:vAlign w:val="center"/>
          </w:tcPr>
          <w:p w14:paraId="452C89FF"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6.38</w:t>
            </w:r>
          </w:p>
        </w:tc>
        <w:tc>
          <w:tcPr>
            <w:tcW w:w="0" w:type="auto"/>
            <w:vAlign w:val="center"/>
          </w:tcPr>
          <w:p w14:paraId="58B6C54A"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7.56</w:t>
            </w:r>
          </w:p>
        </w:tc>
        <w:tc>
          <w:tcPr>
            <w:tcW w:w="0" w:type="auto"/>
            <w:vAlign w:val="center"/>
          </w:tcPr>
          <w:p w14:paraId="76BB96EC"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8.95</w:t>
            </w:r>
          </w:p>
        </w:tc>
        <w:tc>
          <w:tcPr>
            <w:tcW w:w="0" w:type="auto"/>
            <w:vAlign w:val="center"/>
          </w:tcPr>
          <w:p w14:paraId="1599E348"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10.61</w:t>
            </w:r>
          </w:p>
        </w:tc>
        <w:tc>
          <w:tcPr>
            <w:tcW w:w="0" w:type="auto"/>
            <w:vAlign w:val="center"/>
          </w:tcPr>
          <w:p w14:paraId="4BB10B43" w14:textId="77777777" w:rsidR="00BE5064" w:rsidRPr="002508EE" w:rsidRDefault="00BE5064">
            <w:pPr>
              <w:jc w:val="center"/>
              <w:cnfStyle w:val="000000000000" w:firstRow="0" w:lastRow="0" w:firstColumn="0" w:lastColumn="0" w:oddVBand="0" w:evenVBand="0" w:oddHBand="0" w:evenHBand="0" w:firstRowFirstColumn="0" w:firstRowLastColumn="0" w:lastRowFirstColumn="0" w:lastRowLastColumn="0"/>
              <w:rPr>
                <w:rFonts w:hint="eastAsia"/>
              </w:rPr>
            </w:pPr>
            <w:r w:rsidRPr="002508EE">
              <w:t>13.29</w:t>
            </w:r>
          </w:p>
        </w:tc>
      </w:tr>
    </w:tbl>
    <w:p w14:paraId="2343ED0B" w14:textId="7BCFB3EA" w:rsidR="00BE5064" w:rsidRPr="0064643B" w:rsidRDefault="0064643B" w:rsidP="004D42B8">
      <w:pPr>
        <w:rPr>
          <w:rFonts w:hint="eastAsia"/>
          <w:color w:val="595959" w:themeColor="text1" w:themeTint="A6"/>
          <w:sz w:val="18"/>
          <w:szCs w:val="18"/>
        </w:rPr>
      </w:pPr>
      <w:r w:rsidRPr="0064643B">
        <w:rPr>
          <w:color w:val="595959" w:themeColor="text1" w:themeTint="A6"/>
          <w:sz w:val="18"/>
          <w:szCs w:val="18"/>
        </w:rPr>
        <w:t xml:space="preserve">Estimates are from NOAA Atlas 14 and </w:t>
      </w:r>
      <w:r w:rsidR="00646196">
        <w:rPr>
          <w:color w:val="595959" w:themeColor="text1" w:themeTint="A6"/>
          <w:sz w:val="18"/>
          <w:szCs w:val="18"/>
        </w:rPr>
        <w:t xml:space="preserve">the </w:t>
      </w:r>
      <w:r w:rsidRPr="0064643B">
        <w:rPr>
          <w:color w:val="595959" w:themeColor="text1" w:themeTint="A6"/>
          <w:sz w:val="18"/>
          <w:szCs w:val="18"/>
        </w:rPr>
        <w:t>Northeast Regional Climate Center.</w:t>
      </w:r>
    </w:p>
    <w:p w14:paraId="48FED75D" w14:textId="3533A42D" w:rsidR="00994BE5" w:rsidRDefault="00994BE5" w:rsidP="00994BE5">
      <w:pPr>
        <w:rPr>
          <w:rFonts w:hint="eastAsia"/>
        </w:rPr>
      </w:pPr>
      <w:r w:rsidRPr="002508EE">
        <w:t>The Intensity Duration Frequency Curves for New York State: Future Projections for a Changing Climate Project</w:t>
      </w:r>
      <w:r w:rsidRPr="002508EE">
        <w:rPr>
          <w:rStyle w:val="FootnoteReference"/>
        </w:rPr>
        <w:footnoteReference w:id="5"/>
      </w:r>
      <w:r w:rsidRPr="002508EE">
        <w:t xml:space="preserve"> produced </w:t>
      </w:r>
      <w:r w:rsidR="00297AF8">
        <w:t>ensemble-based</w:t>
      </w:r>
      <w:r w:rsidRPr="002508EE">
        <w:t xml:space="preserve"> projected rainfall intensity for two emission scenarios, RCP4.5 and RCP8.5, and mid-century (2040-2069) and late-century (2070-2099) time horizons for the state of NY. Portions of adjacent states, including 4 stations in or near WestCOG communities, were also included. Based on the average increase in intensity compared to 1970-1999 at these four stations, 24-hour 100-year intensity rainfall is projected to increase by 9% between 2040-2079 and 14% between 2070-2099 for emissions scenario RCP4.5, and by as much as 13% and 22% for the respective time periods with emissions scenario RCP8.5. This means the 24-hour 100-year storm at Norwalk, CT, could increase from 8.26 inches based on present-day NOAA14, to over 10 inches by the end of the century. </w:t>
      </w:r>
    </w:p>
    <w:p w14:paraId="5AD9DDE2" w14:textId="10E30498" w:rsidR="00730A8B" w:rsidRPr="002508EE" w:rsidRDefault="00730A8B" w:rsidP="00730A8B">
      <w:pPr>
        <w:rPr>
          <w:rFonts w:hint="eastAsia"/>
        </w:rPr>
      </w:pPr>
      <w:r w:rsidRPr="002508EE">
        <w:t xml:space="preserve">According to the CTPCSA, by the late century under a high emissions scenario (RCP8.5), global climate models project a 15-25% increase in overall northeastern US cool season precipitation associated with </w:t>
      </w:r>
      <w:r w:rsidR="00297AF8">
        <w:t>Mid-Latitude Cyclones</w:t>
      </w:r>
      <w:r w:rsidRPr="002508EE">
        <w:t xml:space="preserve">, and a 20% increase in precipitation per cyclone. The number of heavy precipitation events associated with cool-season cyclones will rise 50% by the early 21st century and 4-5 times by the late 21st century. As global temperatures continue to rise, much of this increase will manifest as rainfall, with less snow expected in future extratropical cyclones over the eastern U.S. </w:t>
      </w:r>
    </w:p>
    <w:p w14:paraId="14BB89A9" w14:textId="1564C146" w:rsidR="00730A8B" w:rsidRPr="00843358" w:rsidRDefault="003855A6" w:rsidP="003855A6">
      <w:pPr>
        <w:pStyle w:val="Heading3"/>
        <w:rPr>
          <w:rFonts w:hint="eastAsia"/>
          <w:caps/>
        </w:rPr>
      </w:pPr>
      <w:bookmarkStart w:id="32" w:name="_Toc233228212"/>
      <w:r w:rsidRPr="00843358">
        <w:t xml:space="preserve">Stormwater </w:t>
      </w:r>
      <w:r w:rsidR="00DA4E49" w:rsidRPr="00843358">
        <w:t>Infrastructure</w:t>
      </w:r>
      <w:r w:rsidR="00AA7098" w:rsidRPr="00843358">
        <w:t xml:space="preserve"> Design and Performance</w:t>
      </w:r>
      <w:bookmarkEnd w:id="32"/>
    </w:p>
    <w:p w14:paraId="45E24C0F" w14:textId="69BA3F91" w:rsidR="00424166" w:rsidRPr="003855A6" w:rsidRDefault="00713D96" w:rsidP="003855A6">
      <w:pPr>
        <w:rPr>
          <w:rFonts w:hint="eastAsia"/>
        </w:rPr>
      </w:pPr>
      <w:r>
        <w:t>S</w:t>
      </w:r>
      <w:r w:rsidRPr="00713D96">
        <w:t>tormwater systems</w:t>
      </w:r>
      <w:r>
        <w:t xml:space="preserve"> in much of the Northeast</w:t>
      </w:r>
      <w:r w:rsidRPr="00713D96">
        <w:t xml:space="preserve"> are struggling to keep up with the region's increasingly intense rainfall</w:t>
      </w:r>
      <w:r w:rsidR="001552D0">
        <w:t>.</w:t>
      </w:r>
      <w:r w:rsidR="00B54835">
        <w:t xml:space="preserve"> </w:t>
      </w:r>
      <w:r w:rsidR="002208FD">
        <w:t>D</w:t>
      </w:r>
      <w:r w:rsidR="002208FD" w:rsidRPr="002208FD">
        <w:t xml:space="preserve">riven by rapid industrialization and population growth in the 18th and </w:t>
      </w:r>
      <w:r w:rsidR="002208FD" w:rsidRPr="00424166">
        <w:t xml:space="preserve">19th centuries, </w:t>
      </w:r>
      <w:r w:rsidR="00775BD3" w:rsidRPr="00424166">
        <w:t xml:space="preserve">natural streams were converted into drainage systems through </w:t>
      </w:r>
      <w:r w:rsidR="00775BD3" w:rsidRPr="00734799">
        <w:t>urban burial and channelization</w:t>
      </w:r>
      <w:r w:rsidR="00775BD3">
        <w:t>.</w:t>
      </w:r>
      <w:r w:rsidR="00424166">
        <w:t xml:space="preserve"> Early</w:t>
      </w:r>
      <w:r w:rsidR="00424166" w:rsidRPr="00424166">
        <w:t xml:space="preserve"> "pipes" were often rudimentary structures</w:t>
      </w:r>
      <w:r w:rsidR="00F15638">
        <w:t xml:space="preserve"> </w:t>
      </w:r>
      <w:r w:rsidR="000343D3">
        <w:t xml:space="preserve">that </w:t>
      </w:r>
      <w:r w:rsidR="00F15638" w:rsidRPr="00F15638">
        <w:t xml:space="preserve">removed </w:t>
      </w:r>
      <w:r w:rsidR="000343D3">
        <w:t xml:space="preserve">meanders </w:t>
      </w:r>
      <w:r w:rsidR="00F15638" w:rsidRPr="00F15638">
        <w:t>to speed up water flow and prevent stagnant pools</w:t>
      </w:r>
      <w:r w:rsidR="000343D3">
        <w:t xml:space="preserve">. </w:t>
      </w:r>
      <w:r w:rsidR="002B22B3">
        <w:t>While</w:t>
      </w:r>
      <w:r w:rsidR="000343D3">
        <w:t xml:space="preserve"> </w:t>
      </w:r>
      <w:r w:rsidR="00633267">
        <w:t xml:space="preserve">these </w:t>
      </w:r>
      <w:r w:rsidR="000343D3">
        <w:t xml:space="preserve">original channels </w:t>
      </w:r>
      <w:r w:rsidR="00633267">
        <w:t>have been</w:t>
      </w:r>
      <w:r w:rsidR="000343D3">
        <w:t xml:space="preserve"> replaced by </w:t>
      </w:r>
      <w:r w:rsidR="00D043A7">
        <w:t xml:space="preserve">more </w:t>
      </w:r>
      <w:r w:rsidR="00824CD1">
        <w:t>“</w:t>
      </w:r>
      <w:r w:rsidR="00D043A7">
        <w:t>modern</w:t>
      </w:r>
      <w:r w:rsidR="00824CD1">
        <w:t>”</w:t>
      </w:r>
      <w:r w:rsidR="00D043A7">
        <w:t xml:space="preserve"> pipes</w:t>
      </w:r>
      <w:r w:rsidR="002B22B3" w:rsidRPr="002B22B3">
        <w:t>, th</w:t>
      </w:r>
      <w:r w:rsidR="00633267">
        <w:t>e</w:t>
      </w:r>
      <w:r w:rsidR="002B22B3" w:rsidRPr="002B22B3">
        <w:t xml:space="preserve">se systems are now outdated and overwhelmed </w:t>
      </w:r>
      <w:r w:rsidR="002B22B3" w:rsidRPr="00EF54E8">
        <w:t>by the volume of contemporary storms</w:t>
      </w:r>
      <w:r w:rsidR="00374299" w:rsidRPr="00EF54E8">
        <w:t xml:space="preserve">. </w:t>
      </w:r>
      <w:r w:rsidR="004551F7">
        <w:t>Per</w:t>
      </w:r>
      <w:r w:rsidR="00FD38CE" w:rsidRPr="00EF54E8">
        <w:t xml:space="preserve"> </w:t>
      </w:r>
      <w:r w:rsidR="00EF54E8" w:rsidRPr="00EF54E8">
        <w:t xml:space="preserve">the </w:t>
      </w:r>
      <w:r w:rsidR="00782D0C">
        <w:t xml:space="preserve">2024 </w:t>
      </w:r>
      <w:r w:rsidR="00EF54E8" w:rsidRPr="00EF54E8">
        <w:t>Connecticut Stormwater Quality Manual</w:t>
      </w:r>
      <w:r w:rsidR="004551F7">
        <w:t xml:space="preserve">, </w:t>
      </w:r>
      <w:r w:rsidR="0038179A">
        <w:t xml:space="preserve">new development </w:t>
      </w:r>
      <w:r w:rsidR="004551F7" w:rsidRPr="004551F7">
        <w:t>must now manage the runoff from the 90th percentile rainfall event</w:t>
      </w:r>
      <w:r w:rsidR="0038179A">
        <w:t>, or</w:t>
      </w:r>
      <w:r w:rsidR="007C06C1">
        <w:t xml:space="preserve"> the</w:t>
      </w:r>
      <w:r w:rsidR="0038179A">
        <w:t xml:space="preserve"> </w:t>
      </w:r>
      <w:r w:rsidR="00FB747E">
        <w:t>1.3-inch storm</w:t>
      </w:r>
      <w:r w:rsidR="00142750" w:rsidRPr="00EF54E8">
        <w:t>.</w:t>
      </w:r>
      <w:r w:rsidR="008F5A9F">
        <w:rPr>
          <w:rStyle w:val="FootnoteReference"/>
        </w:rPr>
        <w:footnoteReference w:id="6"/>
      </w:r>
      <w:r w:rsidR="00142750" w:rsidRPr="00EF54E8">
        <w:t xml:space="preserve"> In 2021, Hurricane Ida dumped </w:t>
      </w:r>
      <w:r w:rsidR="00277FB8" w:rsidRPr="00734799">
        <w:t>7 to 8 inches</w:t>
      </w:r>
      <w:r w:rsidR="00277FB8" w:rsidRPr="00EF54E8">
        <w:t xml:space="preserve"> of rain across parts of Connecticut in less than 24 hours. At its peak, rainfall intensity in some areas reached roughly </w:t>
      </w:r>
      <w:r w:rsidR="00277FB8" w:rsidRPr="00734799">
        <w:t>3.5 inches per hour</w:t>
      </w:r>
      <w:r w:rsidR="00782D0C">
        <w:t>.</w:t>
      </w:r>
    </w:p>
    <w:p w14:paraId="7398E153" w14:textId="56D0F901" w:rsidR="00994BE5" w:rsidRPr="00843358" w:rsidRDefault="00E908F7" w:rsidP="00E62F9B">
      <w:pPr>
        <w:pStyle w:val="Heading3"/>
        <w:rPr>
          <w:rFonts w:hint="eastAsia"/>
          <w:caps/>
        </w:rPr>
      </w:pPr>
      <w:bookmarkStart w:id="33" w:name="_Toc233228213"/>
      <w:r w:rsidRPr="00843358">
        <w:t>Rising Groundwater Levels</w:t>
      </w:r>
      <w:bookmarkEnd w:id="33"/>
    </w:p>
    <w:p w14:paraId="0B04AAE6" w14:textId="1B4394BF" w:rsidR="00E62F9B" w:rsidRDefault="00E62F9B" w:rsidP="00E62F9B">
      <w:pPr>
        <w:rPr>
          <w:rFonts w:hint="eastAsia"/>
        </w:rPr>
      </w:pPr>
      <w:r>
        <w:t xml:space="preserve">It is also important to note how </w:t>
      </w:r>
      <w:r w:rsidR="005D37D9">
        <w:t>ground saturation</w:t>
      </w:r>
      <w:r>
        <w:t xml:space="preserve"> is impacted by </w:t>
      </w:r>
      <w:r w:rsidR="00A138FA">
        <w:t>increased precipitation, run</w:t>
      </w:r>
      <w:r w:rsidR="00AB7642">
        <w:t>off, and ponding.</w:t>
      </w:r>
      <w:r w:rsidR="005D37D9">
        <w:t xml:space="preserve"> </w:t>
      </w:r>
      <w:r w:rsidR="005D37D9" w:rsidRPr="005D37D9">
        <w:t>When heavy rain saturates the soil, the water table rises</w:t>
      </w:r>
      <w:r w:rsidR="00B70163">
        <w:t>, creating hydrostatic pressure on</w:t>
      </w:r>
      <w:r w:rsidR="005D37D9" w:rsidRPr="005D37D9">
        <w:t xml:space="preserve"> basement floors and walls. </w:t>
      </w:r>
      <w:r w:rsidR="00B70163">
        <w:t xml:space="preserve">For many structures built in </w:t>
      </w:r>
      <w:r w:rsidR="00B70163" w:rsidRPr="00B70163">
        <w:t>naturally low-lying, saturated areas</w:t>
      </w:r>
      <w:r w:rsidR="00B70163">
        <w:t xml:space="preserve">, </w:t>
      </w:r>
      <w:r w:rsidR="005D37D9" w:rsidRPr="005D37D9">
        <w:t>rising groundwater can force its way through cracks in foundations or cause floors to buckle upward</w:t>
      </w:r>
      <w:r w:rsidR="00B70163">
        <w:t xml:space="preserve">. Beyond structural </w:t>
      </w:r>
      <w:r w:rsidR="00CE2344">
        <w:t xml:space="preserve">impacts, </w:t>
      </w:r>
      <w:r w:rsidR="00B25A64" w:rsidRPr="00B25A64">
        <w:t>septic system</w:t>
      </w:r>
      <w:r w:rsidR="00B25A64">
        <w:t xml:space="preserve">s submerged in groundwater </w:t>
      </w:r>
      <w:r w:rsidR="00B25A64" w:rsidRPr="00B25A64">
        <w:t xml:space="preserve">can no longer treat waste, </w:t>
      </w:r>
      <w:r w:rsidR="006B4F27">
        <w:t>leading to backups into buildings or contaminating</w:t>
      </w:r>
      <w:r w:rsidR="00B25A64" w:rsidRPr="00B25A64">
        <w:t xml:space="preserve"> the </w:t>
      </w:r>
      <w:r w:rsidR="00B25A64">
        <w:t xml:space="preserve">surrounding </w:t>
      </w:r>
      <w:r w:rsidR="00B25A64" w:rsidRPr="00B25A64">
        <w:t>groundwater</w:t>
      </w:r>
      <w:r w:rsidR="00B25A64">
        <w:t>.</w:t>
      </w:r>
      <w:r w:rsidR="00FF0858">
        <w:t xml:space="preserve"> </w:t>
      </w:r>
      <w:r w:rsidR="00FF0858" w:rsidRPr="00FF0858">
        <w:t>In coastal towns, rising groundwater isn't just freshwater</w:t>
      </w:r>
      <w:r w:rsidR="00FF0858">
        <w:t xml:space="preserve"> – see </w:t>
      </w:r>
      <w:r w:rsidR="00EC79F5" w:rsidRPr="00843358">
        <w:fldChar w:fldCharType="begin" w:fldLock="1"/>
      </w:r>
      <w:r w:rsidR="00EC79F5" w:rsidRPr="00843358">
        <w:instrText xml:space="preserve"> REF _Ref228767657 \h </w:instrText>
      </w:r>
      <w:r w:rsidR="005E43AE" w:rsidRPr="00843358">
        <w:instrText xml:space="preserve"> \* MERGEFORMAT </w:instrText>
      </w:r>
      <w:r w:rsidR="00EC79F5" w:rsidRPr="00843358">
        <w:fldChar w:fldCharType="separate"/>
      </w:r>
      <w:r w:rsidR="00AB64CB" w:rsidRPr="00AB64CB">
        <w:t>Saltwater Intrusion</w:t>
      </w:r>
      <w:r w:rsidR="00EC79F5" w:rsidRPr="00843358">
        <w:fldChar w:fldCharType="end"/>
      </w:r>
      <w:r w:rsidR="00EC79F5">
        <w:t xml:space="preserve"> for more information on </w:t>
      </w:r>
      <w:r w:rsidR="006B4F27">
        <w:t>the impacts of rising sea levels.</w:t>
      </w:r>
    </w:p>
    <w:p w14:paraId="2B031AC4" w14:textId="617E9C0D" w:rsidR="008A50CC" w:rsidRDefault="008A50CC" w:rsidP="00E62F9B">
      <w:pPr>
        <w:rPr>
          <w:rFonts w:hint="eastAsia"/>
        </w:rPr>
      </w:pPr>
      <w:r>
        <w:rPr>
          <w:rFonts w:eastAsia="Aptos" w:cs="Aptos"/>
          <w:noProof/>
        </w:rPr>
        <mc:AlternateContent>
          <mc:Choice Requires="wps">
            <w:drawing>
              <wp:inline distT="0" distB="0" distL="0" distR="0" wp14:anchorId="51358141" wp14:editId="11A01F1A">
                <wp:extent cx="5943600" cy="3052482"/>
                <wp:effectExtent l="0" t="0" r="0" b="0"/>
                <wp:docPr id="1222062903" name="Rectangle 1"/>
                <wp:cNvGraphicFramePr/>
                <a:graphic xmlns:a="http://schemas.openxmlformats.org/drawingml/2006/main">
                  <a:graphicData uri="http://schemas.microsoft.com/office/word/2010/wordprocessingShape">
                    <wps:wsp>
                      <wps:cNvSpPr/>
                      <wps:spPr>
                        <a:xfrm>
                          <a:off x="0" y="0"/>
                          <a:ext cx="5943600" cy="3052482"/>
                        </a:xfrm>
                        <a:prstGeom prst="rect">
                          <a:avLst/>
                        </a:prstGeom>
                        <a:solidFill>
                          <a:schemeClr val="accent3">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2B92D5F9" w14:textId="77D1E96F" w:rsidR="008A50CC" w:rsidRPr="00162924" w:rsidRDefault="008A50CC" w:rsidP="00162924">
                            <w:pPr>
                              <w:pStyle w:val="Heading2"/>
                              <w:rPr>
                                <w:rFonts w:hint="eastAsia"/>
                                <w:color w:val="FFFFFF" w:themeColor="background1"/>
                              </w:rPr>
                            </w:pPr>
                            <w:bookmarkStart w:id="34" w:name="_Toc233228214"/>
                            <w:r w:rsidRPr="00162924">
                              <w:rPr>
                                <w:rFonts w:hint="eastAsia"/>
                                <w:color w:val="FFFFFF" w:themeColor="background1"/>
                              </w:rPr>
                              <w:t>What</w:t>
                            </w:r>
                            <w:r w:rsidRPr="00162924">
                              <w:rPr>
                                <w:rFonts w:hint="eastAsia"/>
                                <w:color w:val="FFFFFF" w:themeColor="background1"/>
                              </w:rPr>
                              <w:t>’</w:t>
                            </w:r>
                            <w:r w:rsidRPr="00162924">
                              <w:rPr>
                                <w:rFonts w:hint="eastAsia"/>
                                <w:color w:val="FFFFFF" w:themeColor="background1"/>
                              </w:rPr>
                              <w:t xml:space="preserve">s the connection between groundwater levels and </w:t>
                            </w:r>
                            <w:r w:rsidR="00637DD5" w:rsidRPr="00162924">
                              <w:rPr>
                                <w:rFonts w:hint="eastAsia"/>
                                <w:color w:val="FFFFFF" w:themeColor="background1"/>
                              </w:rPr>
                              <w:t xml:space="preserve">land </w:t>
                            </w:r>
                            <w:r w:rsidRPr="00162924">
                              <w:rPr>
                                <w:rFonts w:hint="eastAsia"/>
                                <w:color w:val="FFFFFF" w:themeColor="background1"/>
                              </w:rPr>
                              <w:t>subsidence?</w:t>
                            </w:r>
                            <w:bookmarkEnd w:id="34"/>
                          </w:p>
                          <w:p w14:paraId="3B277904" w14:textId="2335D63D" w:rsidR="008A50CC" w:rsidRPr="00162924" w:rsidRDefault="00637DD5" w:rsidP="008A50CC">
                            <w:pPr>
                              <w:rPr>
                                <w:rFonts w:hint="eastAsia"/>
                                <w:color w:val="FFFFFF" w:themeColor="background2"/>
                              </w:rPr>
                            </w:pPr>
                            <w:r w:rsidRPr="00162924">
                              <w:rPr>
                                <w:rFonts w:hint="eastAsia"/>
                                <w:color w:val="FFFFFF" w:themeColor="background2"/>
                              </w:rPr>
                              <w:t>Land s</w:t>
                            </w:r>
                            <w:r w:rsidR="008A50CC" w:rsidRPr="00162924">
                              <w:rPr>
                                <w:rFonts w:hint="eastAsia"/>
                                <w:color w:val="FFFFFF" w:themeColor="background2"/>
                              </w:rPr>
                              <w:t xml:space="preserve">ubsidence </w:t>
                            </w:r>
                            <w:r w:rsidR="008079A1" w:rsidRPr="00162924">
                              <w:rPr>
                                <w:rFonts w:hint="eastAsia"/>
                                <w:color w:val="FFFFFF" w:themeColor="background2"/>
                              </w:rPr>
                              <w:t>happens when materials under the Earth</w:t>
                            </w:r>
                            <w:r w:rsidR="008079A1" w:rsidRPr="00162924">
                              <w:rPr>
                                <w:rFonts w:hint="eastAsia"/>
                                <w:color w:val="FFFFFF" w:themeColor="background2"/>
                              </w:rPr>
                              <w:t>’</w:t>
                            </w:r>
                            <w:r w:rsidR="008079A1" w:rsidRPr="00162924">
                              <w:rPr>
                                <w:rFonts w:hint="eastAsia"/>
                                <w:color w:val="FFFFFF" w:themeColor="background2"/>
                              </w:rPr>
                              <w:t>s surface</w:t>
                            </w:r>
                            <w:r w:rsidR="00D22463" w:rsidRPr="00162924">
                              <w:rPr>
                                <w:rFonts w:hint="eastAsia"/>
                                <w:color w:val="FFFFFF" w:themeColor="background2"/>
                              </w:rPr>
                              <w:t xml:space="preserve"> shift or are removed</w:t>
                            </w:r>
                            <w:r w:rsidR="00E77F33" w:rsidRPr="00162924">
                              <w:rPr>
                                <w:rFonts w:hint="eastAsia"/>
                                <w:color w:val="FFFFFF" w:themeColor="background2"/>
                              </w:rPr>
                              <w:t>, e.g., water, soil, or rocks</w:t>
                            </w:r>
                            <w:r w:rsidR="00D22463" w:rsidRPr="00162924">
                              <w:rPr>
                                <w:rFonts w:hint="eastAsia"/>
                                <w:color w:val="FFFFFF" w:themeColor="background2"/>
                              </w:rPr>
                              <w:t xml:space="preserve">. </w:t>
                            </w:r>
                            <w:r w:rsidR="00E77F33" w:rsidRPr="00162924">
                              <w:rPr>
                                <w:rFonts w:hint="eastAsia"/>
                                <w:color w:val="FFFFFF" w:themeColor="background2"/>
                              </w:rPr>
                              <w:t>Subsidence</w:t>
                            </w:r>
                            <w:r w:rsidR="00D22463" w:rsidRPr="00162924">
                              <w:rPr>
                                <w:rFonts w:hint="eastAsia"/>
                                <w:color w:val="FFFFFF" w:themeColor="background2"/>
                              </w:rPr>
                              <w:t xml:space="preserve"> </w:t>
                            </w:r>
                            <w:r w:rsidR="00E77F33" w:rsidRPr="00162924">
                              <w:rPr>
                                <w:rFonts w:hint="eastAsia"/>
                                <w:color w:val="FFFFFF" w:themeColor="background2"/>
                              </w:rPr>
                              <w:t xml:space="preserve">can happen gradually or suddenly, </w:t>
                            </w:r>
                            <w:r w:rsidR="0026248F" w:rsidRPr="00162924">
                              <w:rPr>
                                <w:rFonts w:hint="eastAsia"/>
                                <w:color w:val="FFFFFF" w:themeColor="background2"/>
                              </w:rPr>
                              <w:t xml:space="preserve">as soil instability can </w:t>
                            </w:r>
                            <w:r w:rsidR="00C06E7C" w:rsidRPr="00162924">
                              <w:rPr>
                                <w:rFonts w:hint="eastAsia"/>
                                <w:color w:val="FFFFFF" w:themeColor="background2"/>
                              </w:rPr>
                              <w:t>occur at varying geographic scales</w:t>
                            </w:r>
                            <w:r w:rsidR="008A50CC" w:rsidRPr="00162924">
                              <w:rPr>
                                <w:rFonts w:hint="eastAsia"/>
                                <w:color w:val="FFFFFF" w:themeColor="background2"/>
                              </w:rPr>
                              <w:t xml:space="preserve">. </w:t>
                            </w:r>
                          </w:p>
                          <w:p w14:paraId="3ADA3DB8" w14:textId="0E0D8CC1" w:rsidR="008A50CC" w:rsidRPr="00162924" w:rsidRDefault="00C307BA" w:rsidP="008A50CC">
                            <w:pPr>
                              <w:rPr>
                                <w:rFonts w:hint="eastAsia"/>
                                <w:color w:val="FFFFFF" w:themeColor="background2"/>
                              </w:rPr>
                            </w:pPr>
                            <w:r w:rsidRPr="00162924">
                              <w:rPr>
                                <w:rFonts w:hint="eastAsia"/>
                                <w:color w:val="FFFFFF" w:themeColor="background2"/>
                              </w:rPr>
                              <w:t xml:space="preserve">Land subsidence is primarily caused by </w:t>
                            </w:r>
                            <w:r w:rsidRPr="00162924">
                              <w:rPr>
                                <w:rFonts w:hint="eastAsia"/>
                                <w:i/>
                                <w:iCs/>
                                <w:color w:val="FFFFFF" w:themeColor="background2"/>
                              </w:rPr>
                              <w:t xml:space="preserve">declining </w:t>
                            </w:r>
                            <w:r w:rsidRPr="00162924">
                              <w:rPr>
                                <w:rFonts w:hint="eastAsia"/>
                                <w:color w:val="FFFFFF" w:themeColor="background2"/>
                              </w:rPr>
                              <w:t>groundwater levels, not rising ones.</w:t>
                            </w:r>
                            <w:r w:rsidR="00591B41" w:rsidRPr="00162924">
                              <w:rPr>
                                <w:rFonts w:hint="eastAsia"/>
                                <w:color w:val="FFFFFF" w:themeColor="background2"/>
                              </w:rPr>
                              <w:t xml:space="preserve"> </w:t>
                            </w:r>
                            <w:r w:rsidR="001E5461" w:rsidRPr="00162924">
                              <w:rPr>
                                <w:rFonts w:hint="eastAsia"/>
                                <w:color w:val="FFFFFF" w:themeColor="background2"/>
                              </w:rPr>
                              <w:t xml:space="preserve">In the greater tri-state area, the conversation around subsidence is linked to lower groundwater levels due to extraction, </w:t>
                            </w:r>
                            <w:r w:rsidR="00C452EE" w:rsidRPr="00162924">
                              <w:rPr>
                                <w:color w:val="FFFFFF" w:themeColor="background2"/>
                              </w:rPr>
                              <w:t xml:space="preserve">the weight of the built environment, and continual geological shifts </w:t>
                            </w:r>
                            <w:r w:rsidR="00C452EE" w:rsidRPr="00162924">
                              <w:rPr>
                                <w:rFonts w:hint="cs"/>
                                <w:color w:val="FFFFFF" w:themeColor="background2"/>
                              </w:rPr>
                              <w:t>–</w:t>
                            </w:r>
                            <w:r w:rsidR="00C452EE" w:rsidRPr="00162924">
                              <w:rPr>
                                <w:color w:val="FFFFFF" w:themeColor="background2"/>
                              </w:rPr>
                              <w:t xml:space="preserve"> thousands of years in the making.</w:t>
                            </w:r>
                          </w:p>
                          <w:p w14:paraId="38CD82AE" w14:textId="655B14B4" w:rsidR="00637DD5" w:rsidRPr="00162924" w:rsidRDefault="00637DD5" w:rsidP="008A50CC">
                            <w:pPr>
                              <w:rPr>
                                <w:rFonts w:hint="eastAsia"/>
                                <w:color w:val="FFFFFF" w:themeColor="background2"/>
                              </w:rPr>
                            </w:pPr>
                            <w:r w:rsidRPr="00162924">
                              <w:rPr>
                                <w:rFonts w:hint="eastAsia"/>
                                <w:color w:val="FFFFFF" w:themeColor="background2"/>
                              </w:rPr>
                              <w:t xml:space="preserve">Notably, areas experiencing land subsidence </w:t>
                            </w:r>
                            <w:r w:rsidR="00641BBB" w:rsidRPr="00162924">
                              <w:rPr>
                                <w:rFonts w:hint="eastAsia"/>
                                <w:color w:val="FFFFFF" w:themeColor="background2"/>
                              </w:rPr>
                              <w:t xml:space="preserve">may be more susceptible to coastal flooding </w:t>
                            </w:r>
                            <w:r w:rsidR="00550F9D" w:rsidRPr="00162924">
                              <w:rPr>
                                <w:rFonts w:hint="eastAsia"/>
                                <w:color w:val="FFFFFF" w:themeColor="background2"/>
                              </w:rPr>
                              <w:t>from</w:t>
                            </w:r>
                            <w:r w:rsidR="00641BBB" w:rsidRPr="00162924">
                              <w:rPr>
                                <w:rFonts w:hint="eastAsia"/>
                                <w:color w:val="FFFFFF" w:themeColor="background2"/>
                              </w:rPr>
                              <w:t xml:space="preserve"> sea level rise </w:t>
                            </w:r>
                            <w:r w:rsidR="00550F9D" w:rsidRPr="00162924">
                              <w:rPr>
                                <w:rFonts w:hint="eastAsia"/>
                                <w:color w:val="FFFFFF" w:themeColor="background2"/>
                              </w:rPr>
                              <w:t>or</w:t>
                            </w:r>
                            <w:r w:rsidR="00641BBB" w:rsidRPr="00162924">
                              <w:rPr>
                                <w:rFonts w:hint="eastAsia"/>
                                <w:color w:val="FFFFFF" w:themeColor="background2"/>
                              </w:rPr>
                              <w:t xml:space="preserve"> storm surge</w:t>
                            </w:r>
                            <w:r w:rsidR="00550F9D" w:rsidRPr="00162924">
                              <w:rPr>
                                <w:rFonts w:hint="eastAsia"/>
                                <w:color w:val="FFFFFF" w:themeColor="background2"/>
                              </w:rPr>
                              <w:t xml:space="preserve"> as their land elevation drops</w:t>
                            </w:r>
                            <w:r w:rsidR="00641BBB" w:rsidRPr="00162924">
                              <w:rPr>
                                <w:rFonts w:hint="eastAsia"/>
                                <w:color w:val="FFFFFF" w:themeColor="background2"/>
                              </w:rPr>
                              <w:t>.</w:t>
                            </w:r>
                          </w:p>
                        </w:txbxContent>
                      </wps:txbx>
                      <wps:bodyPr rot="0" spcFirstLastPara="0" vertOverflow="overflow" horzOverflow="overflow" vert="horz" wrap="square" lIns="256032" tIns="256032" rIns="256032" bIns="256032" numCol="1" spcCol="0" rtlCol="0" fromWordArt="0" anchor="t" anchorCtr="0" forceAA="0" compatLnSpc="1">
                        <a:prstTxWarp prst="textNoShape">
                          <a:avLst/>
                        </a:prstTxWarp>
                        <a:noAutofit/>
                      </wps:bodyPr>
                    </wps:wsp>
                  </a:graphicData>
                </a:graphic>
              </wp:inline>
            </w:drawing>
          </mc:Choice>
          <mc:Fallback>
            <w:pict>
              <v:rect w14:anchorId="51358141" id="_x0000_s1030" style="width:468pt;height:24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" fillcolor="#365389 [2406]" stroked="f">
                <v:textbox inset="20.16pt,20.16pt,20.16pt,20.16pt">
                  <w:txbxContent>
                    <w:p w14:paraId="2B92D5F9" w14:textId="77D1E96F" w:rsidR="008A50CC" w:rsidRPr="00162924" w:rsidRDefault="008A50CC" w:rsidP="00162924">
                      <w:pPr>
                        <w:pStyle w:val="Heading2"/>
                        <w:rPr>
                          <w:rFonts w:hint="eastAsia"/>
                          <w:color w:val="FFFFFF" w:themeColor="background1"/>
                        </w:rPr>
                      </w:pPr>
                      <w:bookmarkStart w:id="35" w:name="_Toc233228214"/>
                      <w:r w:rsidRPr="00162924">
                        <w:rPr>
                          <w:rFonts w:hint="eastAsia"/>
                          <w:color w:val="FFFFFF" w:themeColor="background1"/>
                        </w:rPr>
                        <w:t>What</w:t>
                      </w:r>
                      <w:r w:rsidRPr="00162924">
                        <w:rPr>
                          <w:rFonts w:hint="eastAsia"/>
                          <w:color w:val="FFFFFF" w:themeColor="background1"/>
                        </w:rPr>
                        <w:t>’</w:t>
                      </w:r>
                      <w:r w:rsidRPr="00162924">
                        <w:rPr>
                          <w:rFonts w:hint="eastAsia"/>
                          <w:color w:val="FFFFFF" w:themeColor="background1"/>
                        </w:rPr>
                        <w:t xml:space="preserve">s the connection between groundwater levels and </w:t>
                      </w:r>
                      <w:r w:rsidR="00637DD5" w:rsidRPr="00162924">
                        <w:rPr>
                          <w:rFonts w:hint="eastAsia"/>
                          <w:color w:val="FFFFFF" w:themeColor="background1"/>
                        </w:rPr>
                        <w:t xml:space="preserve">land </w:t>
                      </w:r>
                      <w:r w:rsidRPr="00162924">
                        <w:rPr>
                          <w:rFonts w:hint="eastAsia"/>
                          <w:color w:val="FFFFFF" w:themeColor="background1"/>
                        </w:rPr>
                        <w:t>subsidence?</w:t>
                      </w:r>
                      <w:bookmarkEnd w:id="35"/>
                    </w:p>
                    <w:p w14:paraId="3B277904" w14:textId="2335D63D" w:rsidR="008A50CC" w:rsidRPr="00162924" w:rsidRDefault="00637DD5" w:rsidP="008A50CC">
                      <w:pPr>
                        <w:rPr>
                          <w:rFonts w:hint="eastAsia"/>
                          <w:color w:val="FFFFFF" w:themeColor="background2"/>
                        </w:rPr>
                      </w:pPr>
                      <w:r w:rsidRPr="00162924">
                        <w:rPr>
                          <w:rFonts w:hint="eastAsia"/>
                          <w:color w:val="FFFFFF" w:themeColor="background2"/>
                        </w:rPr>
                        <w:t>Land s</w:t>
                      </w:r>
                      <w:r w:rsidR="008A50CC" w:rsidRPr="00162924">
                        <w:rPr>
                          <w:rFonts w:hint="eastAsia"/>
                          <w:color w:val="FFFFFF" w:themeColor="background2"/>
                        </w:rPr>
                        <w:t xml:space="preserve">ubsidence </w:t>
                      </w:r>
                      <w:r w:rsidR="008079A1" w:rsidRPr="00162924">
                        <w:rPr>
                          <w:rFonts w:hint="eastAsia"/>
                          <w:color w:val="FFFFFF" w:themeColor="background2"/>
                        </w:rPr>
                        <w:t>happens when materials under the Earth</w:t>
                      </w:r>
                      <w:r w:rsidR="008079A1" w:rsidRPr="00162924">
                        <w:rPr>
                          <w:rFonts w:hint="eastAsia"/>
                          <w:color w:val="FFFFFF" w:themeColor="background2"/>
                        </w:rPr>
                        <w:t>’</w:t>
                      </w:r>
                      <w:r w:rsidR="008079A1" w:rsidRPr="00162924">
                        <w:rPr>
                          <w:rFonts w:hint="eastAsia"/>
                          <w:color w:val="FFFFFF" w:themeColor="background2"/>
                        </w:rPr>
                        <w:t>s surface</w:t>
                      </w:r>
                      <w:r w:rsidR="00D22463" w:rsidRPr="00162924">
                        <w:rPr>
                          <w:rFonts w:hint="eastAsia"/>
                          <w:color w:val="FFFFFF" w:themeColor="background2"/>
                        </w:rPr>
                        <w:t xml:space="preserve"> shift or are removed</w:t>
                      </w:r>
                      <w:r w:rsidR="00E77F33" w:rsidRPr="00162924">
                        <w:rPr>
                          <w:rFonts w:hint="eastAsia"/>
                          <w:color w:val="FFFFFF" w:themeColor="background2"/>
                        </w:rPr>
                        <w:t>, e.g., water, soil, or rocks</w:t>
                      </w:r>
                      <w:r w:rsidR="00D22463" w:rsidRPr="00162924">
                        <w:rPr>
                          <w:rFonts w:hint="eastAsia"/>
                          <w:color w:val="FFFFFF" w:themeColor="background2"/>
                        </w:rPr>
                        <w:t xml:space="preserve">. </w:t>
                      </w:r>
                      <w:r w:rsidR="00E77F33" w:rsidRPr="00162924">
                        <w:rPr>
                          <w:rFonts w:hint="eastAsia"/>
                          <w:color w:val="FFFFFF" w:themeColor="background2"/>
                        </w:rPr>
                        <w:t>Subsidence</w:t>
                      </w:r>
                      <w:r w:rsidR="00D22463" w:rsidRPr="00162924">
                        <w:rPr>
                          <w:rFonts w:hint="eastAsia"/>
                          <w:color w:val="FFFFFF" w:themeColor="background2"/>
                        </w:rPr>
                        <w:t xml:space="preserve"> </w:t>
                      </w:r>
                      <w:r w:rsidR="00E77F33" w:rsidRPr="00162924">
                        <w:rPr>
                          <w:rFonts w:hint="eastAsia"/>
                          <w:color w:val="FFFFFF" w:themeColor="background2"/>
                        </w:rPr>
                        <w:t xml:space="preserve">can happen gradually or suddenly, </w:t>
                      </w:r>
                      <w:r w:rsidR="0026248F" w:rsidRPr="00162924">
                        <w:rPr>
                          <w:rFonts w:hint="eastAsia"/>
                          <w:color w:val="FFFFFF" w:themeColor="background2"/>
                        </w:rPr>
                        <w:t xml:space="preserve">as soil instability can </w:t>
                      </w:r>
                      <w:r w:rsidR="00C06E7C" w:rsidRPr="00162924">
                        <w:rPr>
                          <w:rFonts w:hint="eastAsia"/>
                          <w:color w:val="FFFFFF" w:themeColor="background2"/>
                        </w:rPr>
                        <w:t>occur at varying geographic scales</w:t>
                      </w:r>
                      <w:r w:rsidR="008A50CC" w:rsidRPr="00162924">
                        <w:rPr>
                          <w:rFonts w:hint="eastAsia"/>
                          <w:color w:val="FFFFFF" w:themeColor="background2"/>
                        </w:rPr>
                        <w:t xml:space="preserve">. </w:t>
                      </w:r>
                    </w:p>
                    <w:p w14:paraId="3ADA3DB8" w14:textId="0E0D8CC1" w:rsidR="008A50CC" w:rsidRPr="00162924" w:rsidRDefault="00C307BA" w:rsidP="008A50CC">
                      <w:pPr>
                        <w:rPr>
                          <w:rFonts w:hint="eastAsia"/>
                          <w:color w:val="FFFFFF" w:themeColor="background2"/>
                        </w:rPr>
                      </w:pPr>
                      <w:r w:rsidRPr="00162924">
                        <w:rPr>
                          <w:rFonts w:hint="eastAsia"/>
                          <w:color w:val="FFFFFF" w:themeColor="background2"/>
                        </w:rPr>
                        <w:t xml:space="preserve">Land subsidence is primarily caused by </w:t>
                      </w:r>
                      <w:r w:rsidRPr="00162924">
                        <w:rPr>
                          <w:rFonts w:hint="eastAsia"/>
                          <w:i/>
                          <w:iCs/>
                          <w:color w:val="FFFFFF" w:themeColor="background2"/>
                        </w:rPr>
                        <w:t xml:space="preserve">declining </w:t>
                      </w:r>
                      <w:r w:rsidRPr="00162924">
                        <w:rPr>
                          <w:rFonts w:hint="eastAsia"/>
                          <w:color w:val="FFFFFF" w:themeColor="background2"/>
                        </w:rPr>
                        <w:t>groundwater levels, not rising ones.</w:t>
                      </w:r>
                      <w:r w:rsidR="00591B41" w:rsidRPr="00162924">
                        <w:rPr>
                          <w:rFonts w:hint="eastAsia"/>
                          <w:color w:val="FFFFFF" w:themeColor="background2"/>
                        </w:rPr>
                        <w:t xml:space="preserve"> </w:t>
                      </w:r>
                      <w:r w:rsidR="001E5461" w:rsidRPr="00162924">
                        <w:rPr>
                          <w:rFonts w:hint="eastAsia"/>
                          <w:color w:val="FFFFFF" w:themeColor="background2"/>
                        </w:rPr>
                        <w:t xml:space="preserve">In the greater tri-state area, the conversation around subsidence is linked to lower groundwater levels due to extraction, </w:t>
                      </w:r>
                      <w:r w:rsidR="00C452EE" w:rsidRPr="00162924">
                        <w:rPr>
                          <w:color w:val="FFFFFF" w:themeColor="background2"/>
                        </w:rPr>
                        <w:t xml:space="preserve">the weight of the built environment, and continual geological shifts </w:t>
                      </w:r>
                      <w:r w:rsidR="00C452EE" w:rsidRPr="00162924">
                        <w:rPr>
                          <w:rFonts w:hint="cs"/>
                          <w:color w:val="FFFFFF" w:themeColor="background2"/>
                        </w:rPr>
                        <w:t>–</w:t>
                      </w:r>
                      <w:r w:rsidR="00C452EE" w:rsidRPr="00162924">
                        <w:rPr>
                          <w:color w:val="FFFFFF" w:themeColor="background2"/>
                        </w:rPr>
                        <w:t xml:space="preserve"> thousands of years in the making.</w:t>
                      </w:r>
                    </w:p>
                    <w:p w14:paraId="38CD82AE" w14:textId="655B14B4" w:rsidR="00637DD5" w:rsidRPr="00162924" w:rsidRDefault="00637DD5" w:rsidP="008A50CC">
                      <w:pPr>
                        <w:rPr>
                          <w:rFonts w:hint="eastAsia"/>
                          <w:color w:val="FFFFFF" w:themeColor="background2"/>
                        </w:rPr>
                      </w:pPr>
                      <w:r w:rsidRPr="00162924">
                        <w:rPr>
                          <w:rFonts w:hint="eastAsia"/>
                          <w:color w:val="FFFFFF" w:themeColor="background2"/>
                        </w:rPr>
                        <w:t xml:space="preserve">Notably, areas experiencing land subsidence </w:t>
                      </w:r>
                      <w:r w:rsidR="00641BBB" w:rsidRPr="00162924">
                        <w:rPr>
                          <w:rFonts w:hint="eastAsia"/>
                          <w:color w:val="FFFFFF" w:themeColor="background2"/>
                        </w:rPr>
                        <w:t xml:space="preserve">may be more susceptible to coastal flooding </w:t>
                      </w:r>
                      <w:r w:rsidR="00550F9D" w:rsidRPr="00162924">
                        <w:rPr>
                          <w:rFonts w:hint="eastAsia"/>
                          <w:color w:val="FFFFFF" w:themeColor="background2"/>
                        </w:rPr>
                        <w:t>from</w:t>
                      </w:r>
                      <w:r w:rsidR="00641BBB" w:rsidRPr="00162924">
                        <w:rPr>
                          <w:rFonts w:hint="eastAsia"/>
                          <w:color w:val="FFFFFF" w:themeColor="background2"/>
                        </w:rPr>
                        <w:t xml:space="preserve"> sea level rise </w:t>
                      </w:r>
                      <w:r w:rsidR="00550F9D" w:rsidRPr="00162924">
                        <w:rPr>
                          <w:rFonts w:hint="eastAsia"/>
                          <w:color w:val="FFFFFF" w:themeColor="background2"/>
                        </w:rPr>
                        <w:t>or</w:t>
                      </w:r>
                      <w:r w:rsidR="00641BBB" w:rsidRPr="00162924">
                        <w:rPr>
                          <w:rFonts w:hint="eastAsia"/>
                          <w:color w:val="FFFFFF" w:themeColor="background2"/>
                        </w:rPr>
                        <w:t xml:space="preserve"> storm surge</w:t>
                      </w:r>
                      <w:r w:rsidR="00550F9D" w:rsidRPr="00162924">
                        <w:rPr>
                          <w:rFonts w:hint="eastAsia"/>
                          <w:color w:val="FFFFFF" w:themeColor="background2"/>
                        </w:rPr>
                        <w:t xml:space="preserve"> as their land elevation drops</w:t>
                      </w:r>
                      <w:r w:rsidR="00641BBB" w:rsidRPr="00162924">
                        <w:rPr>
                          <w:rFonts w:hint="eastAsia"/>
                          <w:color w:val="FFFFFF" w:themeColor="background2"/>
                        </w:rPr>
                        <w:t>.</w:t>
                      </w:r>
                    </w:p>
                  </w:txbxContent>
                </v:textbox>
                <w10:anchorlock/>
              </v:rect>
            </w:pict>
          </mc:Fallback>
        </mc:AlternateContent>
      </w:r>
    </w:p>
    <w:p w14:paraId="4A1DF879" w14:textId="4F397F8C" w:rsidR="00E469AF" w:rsidRPr="00843358" w:rsidRDefault="00E469AF" w:rsidP="00734799">
      <w:pPr>
        <w:pStyle w:val="Heading3"/>
        <w:rPr>
          <w:rFonts w:hint="eastAsia"/>
          <w:caps/>
        </w:rPr>
      </w:pPr>
      <w:bookmarkStart w:id="36" w:name="_Toc233228215"/>
      <w:r w:rsidRPr="00843358">
        <w:t>Key Planning Information for Rainfall Flooding</w:t>
      </w:r>
      <w:bookmarkEnd w:id="36"/>
    </w:p>
    <w:p w14:paraId="0A05CE00" w14:textId="2D2F5991" w:rsidR="00DB33CF" w:rsidRDefault="00DB33CF">
      <w:pPr>
        <w:rPr>
          <w:rFonts w:hint="eastAsia"/>
        </w:rPr>
      </w:pPr>
      <w:r w:rsidRPr="00511A36">
        <w:t xml:space="preserve">Annual precipitation across the state is projected to increase by 8.5% (4-5 inches) and 9.5% (4.5-5.5 inches) by mid- and </w:t>
      </w:r>
      <w:r w:rsidR="00DA20F0" w:rsidRPr="00511A36">
        <w:t>late century</w:t>
      </w:r>
      <w:r w:rsidRPr="00511A36">
        <w:t xml:space="preserve">, respectively. </w:t>
      </w:r>
      <w:r>
        <w:t>Storm intensity</w:t>
      </w:r>
      <w:r w:rsidRPr="00511A36">
        <w:t xml:space="preserve"> is also projected to increase in the future, with 24-hour, 100-year precipitation frequency estimates increasing by 9-14% for mid-century and 13-22% by late-century. </w:t>
      </w:r>
    </w:p>
    <w:p w14:paraId="3A82054B" w14:textId="29B105AF" w:rsidR="00830EC0" w:rsidRDefault="00830EC0" w:rsidP="00734799">
      <w:pPr>
        <w:rPr>
          <w:rFonts w:hint="eastAsia"/>
        </w:rPr>
      </w:pPr>
      <w:r>
        <w:t xml:space="preserve">Rainfall flooding </w:t>
      </w:r>
      <w:r w:rsidR="003C56E3">
        <w:t xml:space="preserve">influences both natural and built drainage systems </w:t>
      </w:r>
      <w:r w:rsidR="00A11CAC">
        <w:t xml:space="preserve">and </w:t>
      </w:r>
      <w:r w:rsidR="00731954">
        <w:t>affects</w:t>
      </w:r>
      <w:r w:rsidR="00A11CAC">
        <w:t xml:space="preserve"> </w:t>
      </w:r>
      <w:r w:rsidR="00731954">
        <w:t xml:space="preserve">communities on a watershed-wide scale. </w:t>
      </w:r>
      <w:r w:rsidR="009F3DCF">
        <w:t xml:space="preserve">The following </w:t>
      </w:r>
      <w:r w:rsidR="00421624">
        <w:t xml:space="preserve">data and resources should be used when choosing stormwater management </w:t>
      </w:r>
      <w:r w:rsidR="00254180">
        <w:t>design</w:t>
      </w:r>
      <w:r w:rsidR="00421624">
        <w:t xml:space="preserve"> baselines</w:t>
      </w:r>
      <w:r w:rsidR="00254180">
        <w:t>:</w:t>
      </w:r>
    </w:p>
    <w:p w14:paraId="335C9FBB" w14:textId="16D6BB70" w:rsidR="00C33ECC" w:rsidRPr="002508EE" w:rsidRDefault="00E469AF" w:rsidP="00162924">
      <w:pPr>
        <w:pStyle w:val="ListParagraph"/>
        <w:numPr>
          <w:ilvl w:val="0"/>
          <w:numId w:val="86"/>
        </w:numPr>
        <w:rPr>
          <w:rFonts w:hint="eastAsia"/>
        </w:rPr>
      </w:pPr>
      <w:r w:rsidRPr="002508EE">
        <w:t xml:space="preserve">“Present-day” precipitation frequency estimates from NOAA14 or NRCC for durations ranging from 5 minutes to 3 days and average recurrence intervals from 1 year to 500 years. </w:t>
      </w:r>
    </w:p>
    <w:p w14:paraId="0C35BC1E" w14:textId="77777777" w:rsidR="00E469AF" w:rsidRDefault="00E469AF" w:rsidP="00162924">
      <w:pPr>
        <w:pStyle w:val="ListParagraph"/>
        <w:numPr>
          <w:ilvl w:val="0"/>
          <w:numId w:val="86"/>
        </w:numPr>
        <w:rPr>
          <w:rFonts w:hint="eastAsia"/>
        </w:rPr>
      </w:pPr>
      <w:r w:rsidRPr="002508EE">
        <w:t xml:space="preserve">Future PFE adjustment factors based on the New York State Future Projections Project for RCPs 4.5 and RCP8.5, and mid-century and late-century time horizons. </w:t>
      </w:r>
    </w:p>
    <w:p w14:paraId="70DC8D66" w14:textId="133157A4" w:rsidR="00E469AF" w:rsidRPr="00843358" w:rsidRDefault="00E469AF" w:rsidP="00E469AF">
      <w:pPr>
        <w:pStyle w:val="Heading3"/>
        <w:rPr>
          <w:rFonts w:hint="eastAsia"/>
          <w:caps/>
        </w:rPr>
      </w:pPr>
      <w:bookmarkStart w:id="37" w:name="_Toc233228216"/>
      <w:r w:rsidRPr="00843358">
        <w:t>Identified Best Practices Related to Rainfall Flooding</w:t>
      </w:r>
      <w:bookmarkEnd w:id="37"/>
    </w:p>
    <w:p w14:paraId="629341DA" w14:textId="5FA74287" w:rsidR="00802F61" w:rsidRDefault="00254180" w:rsidP="00CB6B82">
      <w:pPr>
        <w:rPr>
          <w:rFonts w:hint="eastAsia"/>
        </w:rPr>
      </w:pPr>
      <w:r>
        <w:t xml:space="preserve">Several </w:t>
      </w:r>
      <w:r w:rsidR="00BE2F8A">
        <w:t>polic</w:t>
      </w:r>
      <w:r w:rsidR="00A42F1B">
        <w:t>ies</w:t>
      </w:r>
      <w:r>
        <w:t xml:space="preserve"> can be </w:t>
      </w:r>
      <w:r w:rsidR="00A42F1B">
        <w:t>improved</w:t>
      </w:r>
      <w:r>
        <w:t xml:space="preserve"> by </w:t>
      </w:r>
      <w:r w:rsidR="009A0B97">
        <w:t xml:space="preserve">WestCOG municipalities to mitigate the impacts of </w:t>
      </w:r>
      <w:r w:rsidR="002B5ACE">
        <w:t>rainfall flooding</w:t>
      </w:r>
      <w:r w:rsidR="00A42F1B">
        <w:t>, including:</w:t>
      </w:r>
    </w:p>
    <w:p w14:paraId="2E35A42C" w14:textId="560A32C5" w:rsidR="00C33ECC" w:rsidRDefault="00EE3898" w:rsidP="00162924">
      <w:pPr>
        <w:pStyle w:val="ListParagraph"/>
        <w:numPr>
          <w:ilvl w:val="0"/>
          <w:numId w:val="85"/>
        </w:numPr>
        <w:rPr>
          <w:rFonts w:hint="eastAsia"/>
        </w:rPr>
      </w:pPr>
      <w:r w:rsidRPr="00734799">
        <w:rPr>
          <w:b/>
        </w:rPr>
        <w:t>Us</w:t>
      </w:r>
      <w:r w:rsidR="00566084" w:rsidRPr="00734799">
        <w:rPr>
          <w:b/>
        </w:rPr>
        <w:t>ing</w:t>
      </w:r>
      <w:r w:rsidR="005A5ED1" w:rsidRPr="00734799">
        <w:rPr>
          <w:b/>
        </w:rPr>
        <w:t xml:space="preserve"> </w:t>
      </w:r>
      <w:r w:rsidR="00566084" w:rsidRPr="00734799">
        <w:rPr>
          <w:b/>
        </w:rPr>
        <w:t>More Conservative Design Storms</w:t>
      </w:r>
      <w:r w:rsidR="000D4A55">
        <w:t xml:space="preserve">: </w:t>
      </w:r>
      <w:r w:rsidR="0058457E">
        <w:t>C</w:t>
      </w:r>
      <w:r w:rsidR="000D4A55">
        <w:t>ommunities can update local stormwater management requirements to account for more frequent and intense storms</w:t>
      </w:r>
    </w:p>
    <w:p w14:paraId="416CFA9B" w14:textId="5B1D4203" w:rsidR="00C33ECC" w:rsidRPr="00E469AF" w:rsidRDefault="00566084" w:rsidP="00162924">
      <w:pPr>
        <w:pStyle w:val="ListParagraph"/>
        <w:numPr>
          <w:ilvl w:val="0"/>
          <w:numId w:val="85"/>
        </w:numPr>
        <w:rPr>
          <w:rFonts w:hint="eastAsia"/>
        </w:rPr>
      </w:pPr>
      <w:r w:rsidRPr="00734799">
        <w:rPr>
          <w:b/>
        </w:rPr>
        <w:t>Modernizing Existing Stormwater Infrastructure</w:t>
      </w:r>
      <w:r>
        <w:t>:</w:t>
      </w:r>
      <w:r w:rsidR="000A4A25">
        <w:t xml:space="preserve"> </w:t>
      </w:r>
      <w:r w:rsidR="0058457E">
        <w:t>Where</w:t>
      </w:r>
      <w:r w:rsidR="000A4A25">
        <w:t xml:space="preserve"> </w:t>
      </w:r>
      <w:r w:rsidR="00524350">
        <w:t xml:space="preserve">feasible, communities can consider enhancing </w:t>
      </w:r>
      <w:r w:rsidR="009A4D06">
        <w:t xml:space="preserve">existing stormwater infrastructure capacity by right-sizing </w:t>
      </w:r>
      <w:r w:rsidR="0058457E">
        <w:t>for future conditions</w:t>
      </w:r>
    </w:p>
    <w:p w14:paraId="60C34F90" w14:textId="58A982D2" w:rsidR="00566084" w:rsidRDefault="00566084" w:rsidP="00162924">
      <w:pPr>
        <w:pStyle w:val="ListParagraph"/>
        <w:numPr>
          <w:ilvl w:val="0"/>
          <w:numId w:val="85"/>
        </w:numPr>
        <w:rPr>
          <w:rFonts w:hint="eastAsia"/>
        </w:rPr>
      </w:pPr>
      <w:r w:rsidRPr="00734799">
        <w:rPr>
          <w:b/>
          <w:bCs/>
        </w:rPr>
        <w:t>Expand</w:t>
      </w:r>
      <w:r w:rsidR="00E77AAF">
        <w:rPr>
          <w:b/>
          <w:bCs/>
        </w:rPr>
        <w:t>ing</w:t>
      </w:r>
      <w:r w:rsidRPr="00734799">
        <w:rPr>
          <w:b/>
          <w:bCs/>
        </w:rPr>
        <w:t xml:space="preserve"> </w:t>
      </w:r>
      <w:r w:rsidR="0058457E" w:rsidRPr="00734799">
        <w:rPr>
          <w:b/>
          <w:bCs/>
        </w:rPr>
        <w:t>Green and Gray Catchment Systems</w:t>
      </w:r>
      <w:r w:rsidR="0058457E">
        <w:t xml:space="preserve">: </w:t>
      </w:r>
      <w:r w:rsidR="009A03E7">
        <w:t xml:space="preserve">Communities can slow the </w:t>
      </w:r>
      <w:r w:rsidR="00271957">
        <w:t>flow</w:t>
      </w:r>
      <w:r w:rsidR="009A03E7">
        <w:t xml:space="preserve"> of stormwater runoff entering drainage systems </w:t>
      </w:r>
      <w:r w:rsidR="00271957">
        <w:t>by</w:t>
      </w:r>
      <w:r w:rsidR="009A03E7">
        <w:t xml:space="preserve"> </w:t>
      </w:r>
      <w:r w:rsidR="00C97EA9">
        <w:t>implementing</w:t>
      </w:r>
      <w:r w:rsidR="00511F61">
        <w:t xml:space="preserve"> storage or slow-release </w:t>
      </w:r>
      <w:r w:rsidR="00C97EA9">
        <w:t xml:space="preserve">solutions in </w:t>
      </w:r>
      <w:r w:rsidR="00331EC9">
        <w:t>key areas.</w:t>
      </w:r>
    </w:p>
    <w:p w14:paraId="3B5AAF16" w14:textId="77777777" w:rsidR="00566084" w:rsidRPr="00E469AF" w:rsidRDefault="00566084" w:rsidP="00734799">
      <w:pPr>
        <w:rPr>
          <w:rFonts w:hint="eastAsia"/>
        </w:rPr>
      </w:pPr>
    </w:p>
    <w:p w14:paraId="4576E9DC" w14:textId="352EC073" w:rsidR="004D42B8" w:rsidRPr="00511A36" w:rsidRDefault="004D42B8" w:rsidP="00734799">
      <w:pPr>
        <w:pStyle w:val="Heading2"/>
        <w:rPr>
          <w:rFonts w:hint="eastAsia"/>
        </w:rPr>
      </w:pPr>
      <w:bookmarkStart w:id="38" w:name="_Toc233228217"/>
      <w:r w:rsidRPr="00511A36">
        <w:t xml:space="preserve">Riverine </w:t>
      </w:r>
      <w:r w:rsidR="007C0916" w:rsidRPr="00511A36">
        <w:t xml:space="preserve">(Fluvial) </w:t>
      </w:r>
      <w:r w:rsidRPr="00511A36">
        <w:t>Flooding</w:t>
      </w:r>
      <w:bookmarkEnd w:id="38"/>
    </w:p>
    <w:p w14:paraId="669BD643" w14:textId="5FBB47F3" w:rsidR="00053D81" w:rsidRPr="00511A36" w:rsidRDefault="00191B1A" w:rsidP="00734799">
      <w:pPr>
        <w:rPr>
          <w:rFonts w:hint="eastAsia"/>
        </w:rPr>
      </w:pPr>
      <w:r>
        <w:t xml:space="preserve">Western Connecticut </w:t>
      </w:r>
      <w:r w:rsidR="001069A9">
        <w:t>regularly experiences</w:t>
      </w:r>
      <w:r>
        <w:t xml:space="preserve"> riverine </w:t>
      </w:r>
      <w:r w:rsidR="0085600D">
        <w:t xml:space="preserve">flooding, as delineated in the </w:t>
      </w:r>
      <w:r w:rsidR="00D6724E">
        <w:t>FEMA</w:t>
      </w:r>
      <w:r w:rsidR="0085600D">
        <w:t xml:space="preserve"> Flood Insurance Rate Maps (FIRMs).</w:t>
      </w:r>
      <w:r w:rsidR="00840F05">
        <w:t xml:space="preserve"> FEMA FIRM</w:t>
      </w:r>
      <w:r w:rsidR="003464FF">
        <w:t xml:space="preserve">s can be found in </w:t>
      </w:r>
      <w:r w:rsidR="003464FF" w:rsidRPr="00843358">
        <w:fldChar w:fldCharType="begin" w:fldLock="1"/>
      </w:r>
      <w:r w:rsidR="003464FF" w:rsidRPr="00843358">
        <w:instrText xml:space="preserve"> REF _Ref228512228 \h </w:instrText>
      </w:r>
      <w:r w:rsidR="005E43AE" w:rsidRPr="00843358">
        <w:instrText xml:space="preserve"> \* MERGEFORMAT </w:instrText>
      </w:r>
      <w:r w:rsidR="003464FF" w:rsidRPr="00843358">
        <w:fldChar w:fldCharType="separate"/>
      </w:r>
      <w:r w:rsidR="00AB64CB" w:rsidRPr="002508EE">
        <w:rPr>
          <w:rFonts w:eastAsia="Arial"/>
        </w:rPr>
        <w:t>Appendix A: Maps</w:t>
      </w:r>
      <w:r w:rsidR="003464FF" w:rsidRPr="00843358">
        <w:fldChar w:fldCharType="end"/>
      </w:r>
      <w:r w:rsidR="00CF6D0D">
        <w:t xml:space="preserve"> (</w:t>
      </w:r>
      <w:r w:rsidR="0003276C">
        <w:t>Note</w:t>
      </w:r>
      <w:r w:rsidR="00CF6D0D">
        <w:t>: Litchfield County</w:t>
      </w:r>
      <w:r w:rsidR="00586354">
        <w:t xml:space="preserve"> does not have FIRMs)</w:t>
      </w:r>
      <w:r w:rsidR="003464FF">
        <w:t>.</w:t>
      </w:r>
      <w:r w:rsidR="0085600D">
        <w:t xml:space="preserve"> </w:t>
      </w:r>
      <w:r w:rsidR="00053D81" w:rsidRPr="00511A36">
        <w:t xml:space="preserve">Riverine floodwaters cause massive damage to the lower levels of buildings, furniture, and </w:t>
      </w:r>
      <w:r w:rsidR="0085600D">
        <w:t>sentimental belongings</w:t>
      </w:r>
      <w:r w:rsidR="00747532">
        <w:t>,</w:t>
      </w:r>
      <w:r w:rsidR="00455E2F">
        <w:t xml:space="preserve"> </w:t>
      </w:r>
      <w:r w:rsidR="00747532">
        <w:t>strain</w:t>
      </w:r>
      <w:r w:rsidR="00445FDD">
        <w:t xml:space="preserve"> social and community </w:t>
      </w:r>
      <w:r w:rsidR="00445242">
        <w:t>fabric</w:t>
      </w:r>
      <w:r w:rsidR="00747532">
        <w:t>,</w:t>
      </w:r>
      <w:r w:rsidR="00445242">
        <w:t xml:space="preserve"> and stunt business operations</w:t>
      </w:r>
      <w:r w:rsidR="00053D81" w:rsidRPr="00511A36">
        <w:t xml:space="preserve">. </w:t>
      </w:r>
      <w:proofErr w:type="gramStart"/>
      <w:r w:rsidR="00445242">
        <w:t>F</w:t>
      </w:r>
      <w:r w:rsidR="00053D81" w:rsidRPr="002508EE">
        <w:t>loodwaters</w:t>
      </w:r>
      <w:proofErr w:type="gramEnd"/>
      <w:r w:rsidR="00053D81" w:rsidRPr="002508EE">
        <w:t xml:space="preserve"> </w:t>
      </w:r>
      <w:r w:rsidR="00445242">
        <w:t>can also</w:t>
      </w:r>
      <w:r w:rsidR="00053D81" w:rsidRPr="002508EE">
        <w:t xml:space="preserve"> </w:t>
      </w:r>
      <w:r w:rsidR="00F208A9">
        <w:t>impede</w:t>
      </w:r>
      <w:r w:rsidR="00053D81" w:rsidRPr="00511A36">
        <w:t xml:space="preserve"> emergency and commercial egress, </w:t>
      </w:r>
      <w:r w:rsidR="00F208A9">
        <w:t>deteriorate municipal drainage systems, and divert</w:t>
      </w:r>
      <w:r w:rsidR="00053D81" w:rsidRPr="00511A36">
        <w:t xml:space="preserve"> municipal staff and resources.</w:t>
      </w:r>
    </w:p>
    <w:p w14:paraId="658BB360" w14:textId="262D8372" w:rsidR="00191B1A" w:rsidRDefault="009A6A01" w:rsidP="00191B1A">
      <w:pPr>
        <w:rPr>
          <w:rFonts w:hint="eastAsia"/>
        </w:rPr>
      </w:pPr>
      <w:r w:rsidRPr="002508EE">
        <w:rPr>
          <w:noProof/>
        </w:rPr>
        <mc:AlternateContent>
          <mc:Choice Requires="wps">
            <w:drawing>
              <wp:anchor distT="91440" distB="91440" distL="114300" distR="114300" simplePos="0" relativeHeight="251658240" behindDoc="0" locked="0" layoutInCell="1" allowOverlap="1" wp14:anchorId="0EC21150" wp14:editId="01A15C32">
                <wp:simplePos x="0" y="0"/>
                <wp:positionH relativeFrom="page">
                  <wp:posOffset>914400</wp:posOffset>
                </wp:positionH>
                <wp:positionV relativeFrom="paragraph">
                  <wp:posOffset>1367765</wp:posOffset>
                </wp:positionV>
                <wp:extent cx="5883910" cy="1403985"/>
                <wp:effectExtent l="0" t="0" r="0" b="0"/>
                <wp:wrapTopAndBottom/>
                <wp:docPr id="15495379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3910" cy="1403985"/>
                        </a:xfrm>
                        <a:prstGeom prst="rect">
                          <a:avLst/>
                        </a:prstGeom>
                        <a:noFill/>
                        <a:ln w="9525">
                          <a:noFill/>
                          <a:miter lim="800000"/>
                          <a:headEnd/>
                          <a:tailEnd/>
                        </a:ln>
                      </wps:spPr>
                      <wps:txbx>
                        <w:txbxContent>
                          <w:p w14:paraId="4109B86E" w14:textId="7762868B" w:rsidR="009A6A01" w:rsidRPr="002508EE" w:rsidRDefault="006A63A2" w:rsidP="00162924">
                            <w:pPr>
                              <w:pStyle w:val="Heading3"/>
                              <w:rPr>
                                <w:rFonts w:hint="eastAsia"/>
                              </w:rPr>
                            </w:pPr>
                            <w:bookmarkStart w:id="39" w:name="_Toc233228218"/>
                            <w:r>
                              <w:t>The</w:t>
                            </w:r>
                            <w:r w:rsidR="009A6A01">
                              <w:t xml:space="preserve"> </w:t>
                            </w:r>
                            <w:r w:rsidRPr="006A63A2">
                              <w:t>"1-in-1,000-year"</w:t>
                            </w:r>
                            <w:r>
                              <w:t xml:space="preserve"> Event</w:t>
                            </w:r>
                            <w:bookmarkEnd w:id="39"/>
                          </w:p>
                          <w:p w14:paraId="2CF53D3D" w14:textId="659B74B1" w:rsidR="009A6A01" w:rsidRPr="00162924" w:rsidRDefault="00BA330E" w:rsidP="00BA330E">
                            <w:pPr>
                              <w:pBdr>
                                <w:top w:val="single" w:sz="24" w:space="8" w:color="6FAD45" w:themeColor="accent1"/>
                                <w:bottom w:val="single" w:sz="24" w:space="8" w:color="6FAD45" w:themeColor="accent1"/>
                              </w:pBdr>
                              <w:spacing w:after="0"/>
                              <w:rPr>
                                <w:rFonts w:hint="eastAsia"/>
                                <w:color w:val="332F2E" w:themeColor="accent4"/>
                                <w:sz w:val="22"/>
                                <w:szCs w:val="22"/>
                              </w:rPr>
                            </w:pPr>
                            <w:r w:rsidRPr="00162924">
                              <w:rPr>
                                <w:rFonts w:hint="eastAsia"/>
                                <w:color w:val="332F2E" w:themeColor="accent4"/>
                                <w:sz w:val="22"/>
                                <w:szCs w:val="22"/>
                              </w:rPr>
                              <w:t>On August 18, 2024, southwestern Connecticut experienced a catastrophic storm that delivered "1,000-year" rainfall, fundamentally challenging the state's infrastructure and emergency response capabilities.</w:t>
                            </w:r>
                            <w:r w:rsidR="0075476A" w:rsidRPr="00162924">
                              <w:rPr>
                                <w:color w:val="332F2E" w:themeColor="accent4"/>
                                <w:sz w:val="22"/>
                                <w:szCs w:val="22"/>
                              </w:rPr>
                              <w:t xml:space="preserve"> Peak intensities exceeded 3 inches per hour, causing the Naugatuck River at Beacon Falls to rise from 2 feet to over 16 feet in roughly eight hours </w:t>
                            </w:r>
                            <w:r w:rsidR="0075476A" w:rsidRPr="00162924">
                              <w:rPr>
                                <w:rFonts w:hint="cs"/>
                                <w:color w:val="332F2E" w:themeColor="accent4"/>
                                <w:sz w:val="22"/>
                                <w:szCs w:val="22"/>
                              </w:rPr>
                              <w:t>–</w:t>
                            </w:r>
                            <w:r w:rsidR="0075476A" w:rsidRPr="00162924">
                              <w:rPr>
                                <w:color w:val="332F2E" w:themeColor="accent4"/>
                                <w:sz w:val="22"/>
                                <w:szCs w:val="22"/>
                              </w:rPr>
                              <w:t xml:space="preserve"> its second-highest crest on record.</w:t>
                            </w:r>
                          </w:p>
                          <w:p w14:paraId="492E56E5" w14:textId="77777777" w:rsidR="002A1943" w:rsidRPr="00162924" w:rsidRDefault="002A1943" w:rsidP="00BA330E">
                            <w:pPr>
                              <w:pBdr>
                                <w:top w:val="single" w:sz="24" w:space="8" w:color="6FAD45" w:themeColor="accent1"/>
                                <w:bottom w:val="single" w:sz="24" w:space="8" w:color="6FAD45" w:themeColor="accent1"/>
                              </w:pBdr>
                              <w:spacing w:after="0"/>
                              <w:rPr>
                                <w:rFonts w:hint="eastAsia"/>
                                <w:color w:val="332F2E" w:themeColor="accent4"/>
                                <w:sz w:val="22"/>
                                <w:szCs w:val="22"/>
                              </w:rPr>
                            </w:pPr>
                          </w:p>
                          <w:p w14:paraId="14CCA458" w14:textId="2CBBB439" w:rsidR="009A6A01" w:rsidRPr="00162924" w:rsidRDefault="002A1943" w:rsidP="009A6A01">
                            <w:pPr>
                              <w:pBdr>
                                <w:top w:val="single" w:sz="24" w:space="8" w:color="6FAD45" w:themeColor="accent1"/>
                                <w:bottom w:val="single" w:sz="24" w:space="8" w:color="6FAD45" w:themeColor="accent1"/>
                              </w:pBdr>
                              <w:spacing w:after="0"/>
                              <w:rPr>
                                <w:rFonts w:hint="eastAsia"/>
                                <w:color w:val="332F2E" w:themeColor="accent4"/>
                                <w:sz w:val="22"/>
                                <w:szCs w:val="22"/>
                              </w:rPr>
                            </w:pPr>
                            <w:r w:rsidRPr="00162924">
                              <w:rPr>
                                <w:rFonts w:hint="eastAsia"/>
                                <w:color w:val="332F2E" w:themeColor="accent4"/>
                                <w:sz w:val="22"/>
                                <w:szCs w:val="22"/>
                              </w:rPr>
                              <w:t xml:space="preserve">The </w:t>
                            </w:r>
                            <w:r w:rsidRPr="00162924">
                              <w:rPr>
                                <w:rFonts w:hint="eastAsia"/>
                                <w:color w:val="332F2E" w:themeColor="accent4"/>
                                <w:sz w:val="22"/>
                                <w:szCs w:val="22"/>
                              </w:rPr>
                              <w:t>“</w:t>
                            </w:r>
                            <w:r w:rsidRPr="00162924">
                              <w:rPr>
                                <w:rFonts w:hint="eastAsia"/>
                                <w:color w:val="332F2E" w:themeColor="accent4"/>
                                <w:sz w:val="22"/>
                                <w:szCs w:val="22"/>
                              </w:rPr>
                              <w:t>1,000-year</w:t>
                            </w:r>
                            <w:r w:rsidRPr="00162924">
                              <w:rPr>
                                <w:rFonts w:hint="eastAsia"/>
                                <w:color w:val="332F2E" w:themeColor="accent4"/>
                                <w:sz w:val="22"/>
                                <w:szCs w:val="22"/>
                              </w:rPr>
                              <w:t>”</w:t>
                            </w:r>
                            <w:r w:rsidRPr="00162924">
                              <w:rPr>
                                <w:rFonts w:hint="eastAsia"/>
                                <w:color w:val="332F2E" w:themeColor="accent4"/>
                                <w:sz w:val="22"/>
                                <w:szCs w:val="22"/>
                              </w:rPr>
                              <w:t xml:space="preserve"> event does not mean </w:t>
                            </w:r>
                            <w:r w:rsidR="00B256C6" w:rsidRPr="00162924">
                              <w:rPr>
                                <w:rFonts w:hint="eastAsia"/>
                                <w:color w:val="332F2E" w:themeColor="accent4"/>
                                <w:sz w:val="22"/>
                                <w:szCs w:val="22"/>
                              </w:rPr>
                              <w:t>this kind of flooding occurs once every thousand years</w:t>
                            </w:r>
                            <w:r w:rsidR="000320C6" w:rsidRPr="00162924">
                              <w:rPr>
                                <w:rFonts w:hint="eastAsia"/>
                                <w:color w:val="332F2E" w:themeColor="accent4"/>
                                <w:sz w:val="22"/>
                                <w:szCs w:val="22"/>
                              </w:rPr>
                              <w:t>; rather, it</w:t>
                            </w:r>
                            <w:r w:rsidR="0056657F" w:rsidRPr="00162924">
                              <w:rPr>
                                <w:rFonts w:hint="eastAsia"/>
                                <w:color w:val="332F2E" w:themeColor="accent4"/>
                                <w:sz w:val="22"/>
                                <w:szCs w:val="22"/>
                              </w:rPr>
                              <w:t xml:space="preserve"> has a 1-in-1,000 chance of occurring </w:t>
                            </w:r>
                            <w:r w:rsidR="000320C6" w:rsidRPr="00162924">
                              <w:rPr>
                                <w:rFonts w:hint="eastAsia"/>
                                <w:color w:val="332F2E" w:themeColor="accent4"/>
                                <w:sz w:val="22"/>
                                <w:szCs w:val="22"/>
                              </w:rPr>
                              <w:t>each</w:t>
                            </w:r>
                            <w:r w:rsidR="0056657F" w:rsidRPr="00162924">
                              <w:rPr>
                                <w:rFonts w:hint="eastAsia"/>
                                <w:color w:val="332F2E" w:themeColor="accent4"/>
                                <w:sz w:val="22"/>
                                <w:szCs w:val="22"/>
                              </w:rPr>
                              <w:t xml:space="preserve"> year.</w:t>
                            </w:r>
                            <w:r w:rsidR="000320C6" w:rsidRPr="00162924">
                              <w:rPr>
                                <w:rFonts w:hint="eastAsia"/>
                                <w:color w:val="332F2E" w:themeColor="accent4"/>
                                <w:sz w:val="22"/>
                                <w:szCs w:val="22"/>
                              </w:rPr>
                              <w:t xml:space="preserve"> </w:t>
                            </w:r>
                            <w:r w:rsidR="00376A9D" w:rsidRPr="00162924">
                              <w:rPr>
                                <w:rFonts w:hint="eastAsia"/>
                                <w:color w:val="332F2E" w:themeColor="accent4"/>
                                <w:sz w:val="22"/>
                                <w:szCs w:val="22"/>
                              </w:rPr>
                              <w:t xml:space="preserve">In some areas of Connecticut, a 100-year flood may occur </w:t>
                            </w:r>
                            <w:r w:rsidR="00B37618" w:rsidRPr="00162924">
                              <w:rPr>
                                <w:rFonts w:hint="eastAsia"/>
                                <w:color w:val="332F2E" w:themeColor="accent4"/>
                                <w:sz w:val="22"/>
                                <w:szCs w:val="22"/>
                              </w:rPr>
                              <w:t>once every</w:t>
                            </w:r>
                            <w:r w:rsidR="00376A9D" w:rsidRPr="00162924">
                              <w:rPr>
                                <w:rFonts w:hint="eastAsia"/>
                                <w:color w:val="332F2E" w:themeColor="accent4"/>
                                <w:sz w:val="22"/>
                                <w:szCs w:val="22"/>
                              </w:rPr>
                              <w:t xml:space="preserve"> </w:t>
                            </w:r>
                            <w:r w:rsidR="00B37618" w:rsidRPr="00162924">
                              <w:rPr>
                                <w:rFonts w:hint="eastAsia"/>
                                <w:color w:val="332F2E" w:themeColor="accent4"/>
                                <w:sz w:val="22"/>
                                <w:szCs w:val="22"/>
                              </w:rPr>
                              <w:t>10 years.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C21150" id="Text Box 2" o:spid="_x0000_s1031" type="#_x0000_t202" style="position:absolute;margin-left:1in;margin-top:107.7pt;width:463.3pt;height:110.55pt;z-index:251658240;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" filled="f" stroked="f">
                <v:textbox style="mso-fit-shape-to-text:t">
                  <w:txbxContent>
                    <w:p w14:paraId="4109B86E" w14:textId="7762868B" w:rsidR="009A6A01" w:rsidRPr="002508EE" w:rsidRDefault="006A63A2" w:rsidP="00162924">
                      <w:pPr>
                        <w:pStyle w:val="Heading3"/>
                        <w:rPr>
                          <w:rFonts w:hint="eastAsia"/>
                        </w:rPr>
                      </w:pPr>
                      <w:bookmarkStart w:id="40" w:name="_Toc233228218"/>
                      <w:r>
                        <w:t>The</w:t>
                      </w:r>
                      <w:r w:rsidR="009A6A01">
                        <w:t xml:space="preserve"> </w:t>
                      </w:r>
                      <w:r w:rsidRPr="006A63A2">
                        <w:t>"1-in-1,000-year"</w:t>
                      </w:r>
                      <w:r>
                        <w:t xml:space="preserve"> Event</w:t>
                      </w:r>
                      <w:bookmarkEnd w:id="40"/>
                    </w:p>
                    <w:p w14:paraId="2CF53D3D" w14:textId="659B74B1" w:rsidR="009A6A01" w:rsidRPr="00162924" w:rsidRDefault="00BA330E" w:rsidP="00BA330E">
                      <w:pPr>
                        <w:pBdr>
                          <w:top w:val="single" w:sz="24" w:space="8" w:color="6FAD45" w:themeColor="accent1"/>
                          <w:bottom w:val="single" w:sz="24" w:space="8" w:color="6FAD45" w:themeColor="accent1"/>
                        </w:pBdr>
                        <w:spacing w:after="0"/>
                        <w:rPr>
                          <w:rFonts w:hint="eastAsia"/>
                          <w:color w:val="332F2E" w:themeColor="accent4"/>
                          <w:sz w:val="22"/>
                          <w:szCs w:val="22"/>
                        </w:rPr>
                      </w:pPr>
                      <w:r w:rsidRPr="00162924">
                        <w:rPr>
                          <w:rFonts w:hint="eastAsia"/>
                          <w:color w:val="332F2E" w:themeColor="accent4"/>
                          <w:sz w:val="22"/>
                          <w:szCs w:val="22"/>
                        </w:rPr>
                        <w:t>On August 18, 2024, southwestern Connecticut experienced a catastrophic storm that delivered "1,000-year" rainfall, fundamentally challenging the state's infrastructure and emergency response capabilities.</w:t>
                      </w:r>
                      <w:r w:rsidR="0075476A" w:rsidRPr="00162924">
                        <w:rPr>
                          <w:color w:val="332F2E" w:themeColor="accent4"/>
                          <w:sz w:val="22"/>
                          <w:szCs w:val="22"/>
                        </w:rPr>
                        <w:t xml:space="preserve"> Peak intensities exceeded 3 inches per hour, causing the Naugatuck River at Beacon Falls to rise from 2 feet to over 16 feet in roughly eight hours </w:t>
                      </w:r>
                      <w:r w:rsidR="0075476A" w:rsidRPr="00162924">
                        <w:rPr>
                          <w:rFonts w:hint="cs"/>
                          <w:color w:val="332F2E" w:themeColor="accent4"/>
                          <w:sz w:val="22"/>
                          <w:szCs w:val="22"/>
                        </w:rPr>
                        <w:t>–</w:t>
                      </w:r>
                      <w:r w:rsidR="0075476A" w:rsidRPr="00162924">
                        <w:rPr>
                          <w:color w:val="332F2E" w:themeColor="accent4"/>
                          <w:sz w:val="22"/>
                          <w:szCs w:val="22"/>
                        </w:rPr>
                        <w:t xml:space="preserve"> its second-highest crest on record.</w:t>
                      </w:r>
                    </w:p>
                    <w:p w14:paraId="492E56E5" w14:textId="77777777" w:rsidR="002A1943" w:rsidRPr="00162924" w:rsidRDefault="002A1943" w:rsidP="00BA330E">
                      <w:pPr>
                        <w:pBdr>
                          <w:top w:val="single" w:sz="24" w:space="8" w:color="6FAD45" w:themeColor="accent1"/>
                          <w:bottom w:val="single" w:sz="24" w:space="8" w:color="6FAD45" w:themeColor="accent1"/>
                        </w:pBdr>
                        <w:spacing w:after="0"/>
                        <w:rPr>
                          <w:rFonts w:hint="eastAsia"/>
                          <w:color w:val="332F2E" w:themeColor="accent4"/>
                          <w:sz w:val="22"/>
                          <w:szCs w:val="22"/>
                        </w:rPr>
                      </w:pPr>
                    </w:p>
                    <w:p w14:paraId="14CCA458" w14:textId="2CBBB439" w:rsidR="009A6A01" w:rsidRPr="00162924" w:rsidRDefault="002A1943" w:rsidP="009A6A01">
                      <w:pPr>
                        <w:pBdr>
                          <w:top w:val="single" w:sz="24" w:space="8" w:color="6FAD45" w:themeColor="accent1"/>
                          <w:bottom w:val="single" w:sz="24" w:space="8" w:color="6FAD45" w:themeColor="accent1"/>
                        </w:pBdr>
                        <w:spacing w:after="0"/>
                        <w:rPr>
                          <w:rFonts w:hint="eastAsia"/>
                          <w:color w:val="332F2E" w:themeColor="accent4"/>
                          <w:sz w:val="22"/>
                          <w:szCs w:val="22"/>
                        </w:rPr>
                      </w:pPr>
                      <w:r w:rsidRPr="00162924">
                        <w:rPr>
                          <w:rFonts w:hint="eastAsia"/>
                          <w:color w:val="332F2E" w:themeColor="accent4"/>
                          <w:sz w:val="22"/>
                          <w:szCs w:val="22"/>
                        </w:rPr>
                        <w:t xml:space="preserve">The </w:t>
                      </w:r>
                      <w:r w:rsidRPr="00162924">
                        <w:rPr>
                          <w:rFonts w:hint="eastAsia"/>
                          <w:color w:val="332F2E" w:themeColor="accent4"/>
                          <w:sz w:val="22"/>
                          <w:szCs w:val="22"/>
                        </w:rPr>
                        <w:t>“</w:t>
                      </w:r>
                      <w:r w:rsidRPr="00162924">
                        <w:rPr>
                          <w:rFonts w:hint="eastAsia"/>
                          <w:color w:val="332F2E" w:themeColor="accent4"/>
                          <w:sz w:val="22"/>
                          <w:szCs w:val="22"/>
                        </w:rPr>
                        <w:t>1,000-year</w:t>
                      </w:r>
                      <w:r w:rsidRPr="00162924">
                        <w:rPr>
                          <w:rFonts w:hint="eastAsia"/>
                          <w:color w:val="332F2E" w:themeColor="accent4"/>
                          <w:sz w:val="22"/>
                          <w:szCs w:val="22"/>
                        </w:rPr>
                        <w:t>”</w:t>
                      </w:r>
                      <w:r w:rsidRPr="00162924">
                        <w:rPr>
                          <w:rFonts w:hint="eastAsia"/>
                          <w:color w:val="332F2E" w:themeColor="accent4"/>
                          <w:sz w:val="22"/>
                          <w:szCs w:val="22"/>
                        </w:rPr>
                        <w:t xml:space="preserve"> event does not mean </w:t>
                      </w:r>
                      <w:r w:rsidR="00B256C6" w:rsidRPr="00162924">
                        <w:rPr>
                          <w:rFonts w:hint="eastAsia"/>
                          <w:color w:val="332F2E" w:themeColor="accent4"/>
                          <w:sz w:val="22"/>
                          <w:szCs w:val="22"/>
                        </w:rPr>
                        <w:t>this kind of flooding occurs once every thousand years</w:t>
                      </w:r>
                      <w:r w:rsidR="000320C6" w:rsidRPr="00162924">
                        <w:rPr>
                          <w:rFonts w:hint="eastAsia"/>
                          <w:color w:val="332F2E" w:themeColor="accent4"/>
                          <w:sz w:val="22"/>
                          <w:szCs w:val="22"/>
                        </w:rPr>
                        <w:t>; rather, it</w:t>
                      </w:r>
                      <w:r w:rsidR="0056657F" w:rsidRPr="00162924">
                        <w:rPr>
                          <w:rFonts w:hint="eastAsia"/>
                          <w:color w:val="332F2E" w:themeColor="accent4"/>
                          <w:sz w:val="22"/>
                          <w:szCs w:val="22"/>
                        </w:rPr>
                        <w:t xml:space="preserve"> has a 1-in-1,000 chance of occurring </w:t>
                      </w:r>
                      <w:r w:rsidR="000320C6" w:rsidRPr="00162924">
                        <w:rPr>
                          <w:rFonts w:hint="eastAsia"/>
                          <w:color w:val="332F2E" w:themeColor="accent4"/>
                          <w:sz w:val="22"/>
                          <w:szCs w:val="22"/>
                        </w:rPr>
                        <w:t>each</w:t>
                      </w:r>
                      <w:r w:rsidR="0056657F" w:rsidRPr="00162924">
                        <w:rPr>
                          <w:rFonts w:hint="eastAsia"/>
                          <w:color w:val="332F2E" w:themeColor="accent4"/>
                          <w:sz w:val="22"/>
                          <w:szCs w:val="22"/>
                        </w:rPr>
                        <w:t xml:space="preserve"> year.</w:t>
                      </w:r>
                      <w:r w:rsidR="000320C6" w:rsidRPr="00162924">
                        <w:rPr>
                          <w:rFonts w:hint="eastAsia"/>
                          <w:color w:val="332F2E" w:themeColor="accent4"/>
                          <w:sz w:val="22"/>
                          <w:szCs w:val="22"/>
                        </w:rPr>
                        <w:t xml:space="preserve"> </w:t>
                      </w:r>
                      <w:r w:rsidR="00376A9D" w:rsidRPr="00162924">
                        <w:rPr>
                          <w:rFonts w:hint="eastAsia"/>
                          <w:color w:val="332F2E" w:themeColor="accent4"/>
                          <w:sz w:val="22"/>
                          <w:szCs w:val="22"/>
                        </w:rPr>
                        <w:t xml:space="preserve">In some areas of Connecticut, a 100-year flood may occur </w:t>
                      </w:r>
                      <w:r w:rsidR="00B37618" w:rsidRPr="00162924">
                        <w:rPr>
                          <w:rFonts w:hint="eastAsia"/>
                          <w:color w:val="332F2E" w:themeColor="accent4"/>
                          <w:sz w:val="22"/>
                          <w:szCs w:val="22"/>
                        </w:rPr>
                        <w:t>once every</w:t>
                      </w:r>
                      <w:r w:rsidR="00376A9D" w:rsidRPr="00162924">
                        <w:rPr>
                          <w:rFonts w:hint="eastAsia"/>
                          <w:color w:val="332F2E" w:themeColor="accent4"/>
                          <w:sz w:val="22"/>
                          <w:szCs w:val="22"/>
                        </w:rPr>
                        <w:t xml:space="preserve"> </w:t>
                      </w:r>
                      <w:r w:rsidR="00B37618" w:rsidRPr="00162924">
                        <w:rPr>
                          <w:rFonts w:hint="eastAsia"/>
                          <w:color w:val="332F2E" w:themeColor="accent4"/>
                          <w:sz w:val="22"/>
                          <w:szCs w:val="22"/>
                        </w:rPr>
                        <w:t>10 years.</w:t>
                      </w:r>
                    </w:p>
                  </w:txbxContent>
                </v:textbox>
                <w10:wrap type="topAndBottom" anchorx="page"/>
              </v:shape>
            </w:pict>
          </mc:Fallback>
        </mc:AlternateContent>
      </w:r>
      <w:r w:rsidR="00191B1A">
        <w:t>As discussed above, p</w:t>
      </w:r>
      <w:r w:rsidR="00191B1A" w:rsidRPr="002508EE">
        <w:t xml:space="preserve">recipitation in Connecticut </w:t>
      </w:r>
      <w:r w:rsidR="00191B1A">
        <w:t xml:space="preserve">has been </w:t>
      </w:r>
      <w:r w:rsidR="00B37618">
        <w:t xml:space="preserve">increasing </w:t>
      </w:r>
      <w:r w:rsidR="00191B1A">
        <w:t xml:space="preserve">and will continue to </w:t>
      </w:r>
      <w:r w:rsidR="00B37618">
        <w:t>do so</w:t>
      </w:r>
      <w:r w:rsidR="00191B1A">
        <w:t xml:space="preserve"> as the climate changes, ultimately </w:t>
      </w:r>
      <w:r w:rsidR="00191B1A" w:rsidRPr="002508EE">
        <w:t>exacerbat</w:t>
      </w:r>
      <w:r w:rsidR="00191B1A">
        <w:t xml:space="preserve">ing </w:t>
      </w:r>
      <w:r w:rsidR="00191B1A" w:rsidRPr="002508EE">
        <w:t xml:space="preserve">riverine flood impacts. </w:t>
      </w:r>
      <w:proofErr w:type="gramStart"/>
      <w:r w:rsidR="00DD7AA5" w:rsidRPr="00EE3A3C">
        <w:t>Human-altered</w:t>
      </w:r>
      <w:proofErr w:type="gramEnd"/>
      <w:r w:rsidR="00DD7AA5" w:rsidRPr="00EE3A3C">
        <w:t xml:space="preserve"> landscapes significantly amplify rivers</w:t>
      </w:r>
      <w:r w:rsidR="000E3A72">
        <w:t>’</w:t>
      </w:r>
      <w:r w:rsidR="00DD7AA5" w:rsidRPr="00EE3A3C">
        <w:t xml:space="preserve"> </w:t>
      </w:r>
      <w:r w:rsidR="000E3A72" w:rsidRPr="00EE3A3C">
        <w:t>respon</w:t>
      </w:r>
      <w:r w:rsidR="000E3A72">
        <w:t>ses</w:t>
      </w:r>
      <w:r w:rsidR="000E3A72" w:rsidRPr="00EE3A3C">
        <w:t xml:space="preserve"> </w:t>
      </w:r>
      <w:r w:rsidR="00DD7AA5" w:rsidRPr="00EE3A3C">
        <w:t>to this extra water</w:t>
      </w:r>
      <w:r w:rsidR="000E3A72">
        <w:t>—</w:t>
      </w:r>
      <w:r w:rsidR="00DD7AA5">
        <w:t xml:space="preserve">whether through impervious surfaces or </w:t>
      </w:r>
      <w:r w:rsidR="004A7ECC">
        <w:t xml:space="preserve">discharge from overwhelmed drainage systems. </w:t>
      </w:r>
      <w:r w:rsidR="00191B1A" w:rsidRPr="002508EE">
        <w:t xml:space="preserve">Intensifying precipitation will </w:t>
      </w:r>
      <w:r w:rsidR="004A7ECC">
        <w:t xml:space="preserve">also </w:t>
      </w:r>
      <w:r w:rsidR="00191B1A" w:rsidRPr="002508EE">
        <w:t xml:space="preserve">result in higher river levels </w:t>
      </w:r>
      <w:r w:rsidR="00F208A9">
        <w:t>both locally and upstream, as well as</w:t>
      </w:r>
      <w:r w:rsidR="00191B1A" w:rsidRPr="002508EE">
        <w:t xml:space="preserve"> increased riverine flood intensity and frequency.</w:t>
      </w:r>
      <w:r w:rsidR="00F30DBE">
        <w:t xml:space="preserve"> </w:t>
      </w:r>
    </w:p>
    <w:p w14:paraId="3A3FE61C" w14:textId="37AE3F37" w:rsidR="005C7812" w:rsidRDefault="003B1C8A" w:rsidP="00191B1A">
      <w:pPr>
        <w:rPr>
          <w:rFonts w:hint="eastAsia"/>
        </w:rPr>
      </w:pPr>
      <w:r>
        <w:t>Nearly</w:t>
      </w:r>
      <w:r w:rsidR="007C3986">
        <w:t xml:space="preserve"> 50%</w:t>
      </w:r>
      <w:r w:rsidR="00832C5E">
        <w:t xml:space="preserve"> of </w:t>
      </w:r>
      <w:r w:rsidR="00C33D07">
        <w:t xml:space="preserve">flood insurance claims </w:t>
      </w:r>
      <w:r w:rsidR="00CE4A18">
        <w:t xml:space="preserve">come from properties outside of </w:t>
      </w:r>
      <w:r w:rsidR="00E92D27">
        <w:t>FEMA-designated flood risk zones</w:t>
      </w:r>
      <w:r w:rsidR="00E05461">
        <w:t>.</w:t>
      </w:r>
      <w:r w:rsidR="004B332F">
        <w:rPr>
          <w:rStyle w:val="FootnoteReference"/>
        </w:rPr>
        <w:footnoteReference w:id="7"/>
      </w:r>
      <w:r w:rsidR="00E05461">
        <w:t xml:space="preserve"> Because FEMA FIRMs </w:t>
      </w:r>
      <w:r w:rsidR="00E05461" w:rsidRPr="007D7E9C">
        <w:t>rely on data from the late 2000s or early 2010s</w:t>
      </w:r>
      <w:r w:rsidR="00E05461">
        <w:t>, flood risk maps</w:t>
      </w:r>
      <w:r w:rsidR="00E05461" w:rsidRPr="007D7E9C">
        <w:t xml:space="preserve"> do</w:t>
      </w:r>
      <w:r w:rsidR="00E05461">
        <w:t xml:space="preserve"> </w:t>
      </w:r>
      <w:r w:rsidR="00E05461" w:rsidRPr="007D7E9C">
        <w:t>not reflect current rainfall intensities or urban development patterns.</w:t>
      </w:r>
      <w:r w:rsidR="00B647CE">
        <w:t xml:space="preserve"> </w:t>
      </w:r>
      <w:r>
        <w:t xml:space="preserve">To </w:t>
      </w:r>
      <w:r w:rsidR="006743E9">
        <w:t xml:space="preserve">close this gap, </w:t>
      </w:r>
      <w:r w:rsidR="00B00858">
        <w:t xml:space="preserve">Connecticut </w:t>
      </w:r>
      <w:r w:rsidR="00DE78C9">
        <w:t>launched</w:t>
      </w:r>
      <w:r w:rsidR="00B00858">
        <w:t xml:space="preserve"> an online climate risk tool that uses forward</w:t>
      </w:r>
      <w:r w:rsidR="00DE78C9">
        <w:t>-</w:t>
      </w:r>
      <w:r w:rsidR="00B00858">
        <w:t xml:space="preserve">looking </w:t>
      </w:r>
      <w:r w:rsidR="0014509C">
        <w:t>precipitation projections</w:t>
      </w:r>
      <w:r w:rsidR="00DE78C9">
        <w:t xml:space="preserve"> </w:t>
      </w:r>
      <w:r w:rsidR="0014509C">
        <w:t>and impervious surface modeling</w:t>
      </w:r>
      <w:r w:rsidR="00DE78C9">
        <w:t>.</w:t>
      </w:r>
      <w:r w:rsidR="00E50119">
        <w:rPr>
          <w:rStyle w:val="FootnoteReference"/>
        </w:rPr>
        <w:footnoteReference w:id="8"/>
      </w:r>
    </w:p>
    <w:p w14:paraId="54FEF8D8" w14:textId="4CFAF6B2" w:rsidR="00DD7AA5" w:rsidRPr="002508EE" w:rsidRDefault="004F240E" w:rsidP="00191B1A">
      <w:pPr>
        <w:rPr>
          <w:rFonts w:hint="eastAsia"/>
        </w:rPr>
      </w:pPr>
      <w:r w:rsidRPr="004F240E">
        <w:t xml:space="preserve">A critical hazard in coastal </w:t>
      </w:r>
      <w:r w:rsidR="00350ABE" w:rsidRPr="004F240E">
        <w:t>areas is the</w:t>
      </w:r>
      <w:r w:rsidR="00350ABE">
        <w:t xml:space="preserve"> </w:t>
      </w:r>
      <w:r w:rsidR="00350ABE" w:rsidRPr="00350ABE">
        <w:t>compound coastal-riverine flooding</w:t>
      </w:r>
      <w:r w:rsidR="00350ABE" w:rsidRPr="004F240E">
        <w:t xml:space="preserve"> interaction </w:t>
      </w:r>
      <w:r w:rsidRPr="004F240E">
        <w:t>between sea level rise and river discharge</w:t>
      </w:r>
      <w:r w:rsidR="00350ABE">
        <w:t>.</w:t>
      </w:r>
      <w:r w:rsidR="00F84A4C">
        <w:t xml:space="preserve"> </w:t>
      </w:r>
      <w:r w:rsidR="00F84A4C" w:rsidRPr="00F84A4C">
        <w:t xml:space="preserve">Rising sea levels push tidal water further up </w:t>
      </w:r>
      <w:r w:rsidR="00D70881">
        <w:t xml:space="preserve">the Norwalk River or the </w:t>
      </w:r>
      <w:r w:rsidR="006C57CD">
        <w:t>Saugatuck</w:t>
      </w:r>
      <w:r w:rsidR="00F84A4C" w:rsidRPr="00F84A4C">
        <w:t xml:space="preserve"> River. When heavy rain occurs during high tide, the river</w:t>
      </w:r>
      <w:r w:rsidR="00D70881">
        <w:t>s</w:t>
      </w:r>
      <w:r w:rsidR="00F84A4C" w:rsidRPr="00F84A4C">
        <w:t xml:space="preserve"> cannot drain into the Sound, causing water to stack up and flood inland neighborhoods</w:t>
      </w:r>
      <w:r w:rsidR="00D70881">
        <w:t xml:space="preserve">. </w:t>
      </w:r>
      <w:r w:rsidR="00CE4409" w:rsidRPr="00843358">
        <w:t xml:space="preserve">See </w:t>
      </w:r>
      <w:r w:rsidR="00CE4409" w:rsidRPr="00843358">
        <w:fldChar w:fldCharType="begin" w:fldLock="1"/>
      </w:r>
      <w:r w:rsidR="00CE4409" w:rsidRPr="00843358">
        <w:instrText xml:space="preserve"> REF _Ref228769826 \h </w:instrText>
      </w:r>
      <w:r w:rsidR="005E43AE" w:rsidRPr="00843358">
        <w:instrText xml:space="preserve"> \* MERGEFORMAT </w:instrText>
      </w:r>
      <w:r w:rsidR="00CE4409" w:rsidRPr="00843358">
        <w:fldChar w:fldCharType="separate"/>
      </w:r>
      <w:r w:rsidR="00AB64CB" w:rsidRPr="00511A36">
        <w:t>Coastal Flooding</w:t>
      </w:r>
      <w:r w:rsidR="00CE4409" w:rsidRPr="00843358">
        <w:fldChar w:fldCharType="end"/>
      </w:r>
      <w:r w:rsidR="00CE4409">
        <w:t xml:space="preserve"> below to read more about coastal flood risk.</w:t>
      </w:r>
    </w:p>
    <w:p w14:paraId="5DCB70B6" w14:textId="279D1871" w:rsidR="00E469AF" w:rsidRPr="00843358" w:rsidRDefault="00E469AF" w:rsidP="00E469AF">
      <w:pPr>
        <w:pStyle w:val="Heading3"/>
        <w:rPr>
          <w:rFonts w:hint="eastAsia"/>
          <w:caps/>
        </w:rPr>
      </w:pPr>
      <w:bookmarkStart w:id="41" w:name="_Toc233228219"/>
      <w:r w:rsidRPr="00843358">
        <w:t>Key Planning Information for Riverine Flooding</w:t>
      </w:r>
      <w:bookmarkEnd w:id="41"/>
    </w:p>
    <w:p w14:paraId="6D3FFA9B" w14:textId="361CE636" w:rsidR="00C33ECC" w:rsidRPr="00DB5AD9" w:rsidRDefault="00D6472F" w:rsidP="00734799">
      <w:pPr>
        <w:rPr>
          <w:rFonts w:hint="eastAsia"/>
        </w:rPr>
      </w:pPr>
      <w:r w:rsidRPr="00511A36">
        <w:t xml:space="preserve">The 1% and 0.2% annual chance floodplain extents will </w:t>
      </w:r>
      <w:r>
        <w:t>widen</w:t>
      </w:r>
      <w:r w:rsidRPr="00511A36">
        <w:t xml:space="preserve"> as precipitation trends continue to intensify. </w:t>
      </w:r>
      <w:r w:rsidR="00DB5AD9">
        <w:t>The following data and resources should be used when choosing stormwater management design baselines</w:t>
      </w:r>
      <w:r w:rsidR="00C33ECC">
        <w:t xml:space="preserve"> for riverine flooding: </w:t>
      </w:r>
    </w:p>
    <w:p w14:paraId="5B91EECA" w14:textId="2069BCD0" w:rsidR="00C33ECC" w:rsidRPr="002508EE" w:rsidRDefault="00E469AF" w:rsidP="00162924">
      <w:pPr>
        <w:pStyle w:val="ListParagraph"/>
        <w:numPr>
          <w:ilvl w:val="0"/>
          <w:numId w:val="87"/>
        </w:numPr>
        <w:rPr>
          <w:rFonts w:hint="eastAsia"/>
        </w:rPr>
      </w:pPr>
      <w:r w:rsidRPr="002508EE">
        <w:t xml:space="preserve">The 1% and 0.2% annual chance floodplains provided by FEMA’s NFHL and FEMA’s Hazus tool output </w:t>
      </w:r>
      <w:r w:rsidR="001635F0">
        <w:t xml:space="preserve">were </w:t>
      </w:r>
      <w:r w:rsidRPr="002508EE">
        <w:t>used in the C</w:t>
      </w:r>
      <w:r w:rsidR="00D6724E">
        <w:t>onnecticut Natural Hazard Mitigation Plan (</w:t>
      </w:r>
      <w:r w:rsidRPr="002508EE">
        <w:t>CT NHMP</w:t>
      </w:r>
      <w:r w:rsidR="00D6724E">
        <w:t>)</w:t>
      </w:r>
      <w:r w:rsidRPr="002508EE">
        <w:t xml:space="preserve"> for Litchfield County. </w:t>
      </w:r>
    </w:p>
    <w:p w14:paraId="3820606E" w14:textId="589D74DB" w:rsidR="00CE4409" w:rsidRPr="002508EE" w:rsidRDefault="00F73D87" w:rsidP="00162924">
      <w:pPr>
        <w:pStyle w:val="ListParagraph"/>
        <w:numPr>
          <w:ilvl w:val="0"/>
          <w:numId w:val="87"/>
        </w:numPr>
        <w:rPr>
          <w:rFonts w:hint="eastAsia"/>
        </w:rPr>
      </w:pPr>
      <w:r>
        <w:t xml:space="preserve">The </w:t>
      </w:r>
      <w:r w:rsidR="00244803">
        <w:t xml:space="preserve">Connecticut Insurance Department’s </w:t>
      </w:r>
      <w:r w:rsidRPr="00F73D87">
        <w:t>Climate Risk Mapping Tool</w:t>
      </w:r>
    </w:p>
    <w:p w14:paraId="0DFB5D1F" w14:textId="0662A448" w:rsidR="00C33ECC" w:rsidRPr="002508EE" w:rsidRDefault="00C33ECC" w:rsidP="00162924">
      <w:pPr>
        <w:pStyle w:val="ListParagraph"/>
        <w:numPr>
          <w:ilvl w:val="0"/>
          <w:numId w:val="87"/>
        </w:numPr>
        <w:rPr>
          <w:rFonts w:hint="eastAsia"/>
        </w:rPr>
      </w:pPr>
      <w:r>
        <w:t xml:space="preserve">CIRCA’s </w:t>
      </w:r>
      <w:r w:rsidR="000E3F61">
        <w:t xml:space="preserve">Flood </w:t>
      </w:r>
      <w:r>
        <w:t xml:space="preserve">CCVI </w:t>
      </w:r>
      <w:r w:rsidR="009B241C">
        <w:t>to understand compounding vulnerability</w:t>
      </w:r>
    </w:p>
    <w:p w14:paraId="2D7E41CE" w14:textId="2B540BAB" w:rsidR="00E469AF" w:rsidRPr="00843358" w:rsidRDefault="00E469AF" w:rsidP="00E469AF">
      <w:pPr>
        <w:pStyle w:val="Heading3"/>
        <w:rPr>
          <w:rFonts w:hint="eastAsia"/>
          <w:caps/>
        </w:rPr>
      </w:pPr>
      <w:bookmarkStart w:id="42" w:name="_Toc233228220"/>
      <w:r w:rsidRPr="00843358">
        <w:t>Identified Best Practices Related to Riverine Flooding</w:t>
      </w:r>
      <w:bookmarkEnd w:id="42"/>
    </w:p>
    <w:p w14:paraId="3D9108A4" w14:textId="5FD7FBEE" w:rsidR="009B241C" w:rsidRPr="00C33ECC" w:rsidRDefault="00C33ECC" w:rsidP="00734799">
      <w:pPr>
        <w:rPr>
          <w:rFonts w:hint="eastAsia"/>
        </w:rPr>
      </w:pPr>
      <w:r>
        <w:t>Several policies can be improved by WestCOG municipalities to mitigate the impacts of riverine flooding, including:</w:t>
      </w:r>
    </w:p>
    <w:p w14:paraId="0BE411E7" w14:textId="20C8CBA0" w:rsidR="00CF2D21" w:rsidRDefault="000E2F73" w:rsidP="00162924">
      <w:pPr>
        <w:pStyle w:val="ListParagraph"/>
        <w:numPr>
          <w:ilvl w:val="0"/>
          <w:numId w:val="88"/>
        </w:numPr>
        <w:rPr>
          <w:rFonts w:hint="eastAsia"/>
        </w:rPr>
      </w:pPr>
      <w:r>
        <w:rPr>
          <w:b/>
          <w:bCs/>
        </w:rPr>
        <w:t xml:space="preserve">Implementing </w:t>
      </w:r>
      <w:r w:rsidR="00010404" w:rsidRPr="00734799">
        <w:rPr>
          <w:b/>
          <w:bCs/>
        </w:rPr>
        <w:t xml:space="preserve">Developing </w:t>
      </w:r>
      <w:r w:rsidR="00593783" w:rsidRPr="00734799">
        <w:rPr>
          <w:b/>
          <w:bCs/>
        </w:rPr>
        <w:t>Climate-Informed Zoning</w:t>
      </w:r>
      <w:r w:rsidR="000E49FF">
        <w:t xml:space="preserve">: </w:t>
      </w:r>
      <w:r w:rsidR="005D4F29">
        <w:t xml:space="preserve">Updated </w:t>
      </w:r>
      <w:r w:rsidR="00F641A3">
        <w:t xml:space="preserve">flood risk </w:t>
      </w:r>
      <w:r w:rsidR="005D4F29">
        <w:t>maps</w:t>
      </w:r>
      <w:r w:rsidR="00FC4CC6">
        <w:t xml:space="preserve"> and associated hazard areas</w:t>
      </w:r>
      <w:r w:rsidR="00966F8D">
        <w:t xml:space="preserve"> can better inform developers </w:t>
      </w:r>
      <w:r w:rsidR="003D67B6">
        <w:t xml:space="preserve">and </w:t>
      </w:r>
      <w:r w:rsidR="007341CC">
        <w:t>landowners</w:t>
      </w:r>
      <w:r w:rsidR="003B7656">
        <w:t xml:space="preserve"> about suitable </w:t>
      </w:r>
      <w:r w:rsidR="00DB33CF">
        <w:t xml:space="preserve">and safe </w:t>
      </w:r>
      <w:r w:rsidR="003B7656">
        <w:t xml:space="preserve">uses for </w:t>
      </w:r>
      <w:r w:rsidR="00991BDB">
        <w:t>impacted areas. E</w:t>
      </w:r>
      <w:r w:rsidR="004C07B2">
        <w:t xml:space="preserve">nhanced Low-Impact Development standards </w:t>
      </w:r>
      <w:r w:rsidR="007E13FC">
        <w:t xml:space="preserve">can </w:t>
      </w:r>
      <w:r w:rsidR="00DA538C">
        <w:t>also help mitigate impacts during and after riverine flooding events.</w:t>
      </w:r>
    </w:p>
    <w:p w14:paraId="3C449BB1" w14:textId="6CF5E56E" w:rsidR="00010404" w:rsidRDefault="00010404" w:rsidP="00162924">
      <w:pPr>
        <w:pStyle w:val="ListParagraph"/>
        <w:numPr>
          <w:ilvl w:val="0"/>
          <w:numId w:val="88"/>
        </w:numPr>
        <w:rPr>
          <w:rFonts w:hint="eastAsia"/>
        </w:rPr>
      </w:pPr>
      <w:r w:rsidRPr="00734799">
        <w:rPr>
          <w:b/>
          <w:bCs/>
        </w:rPr>
        <w:t xml:space="preserve">Enforcing </w:t>
      </w:r>
      <w:r w:rsidR="00295A69" w:rsidRPr="00734799">
        <w:rPr>
          <w:b/>
          <w:bCs/>
        </w:rPr>
        <w:t>Higher Floodplain Management Standards</w:t>
      </w:r>
      <w:r w:rsidR="00FC4CC6">
        <w:t>:</w:t>
      </w:r>
      <w:r w:rsidR="00966F8D">
        <w:t xml:space="preserve"> </w:t>
      </w:r>
      <w:r w:rsidR="00190E18">
        <w:t>Higher standards</w:t>
      </w:r>
      <w:r w:rsidR="001635F0">
        <w:t>,</w:t>
      </w:r>
      <w:r w:rsidR="00190E18">
        <w:t xml:space="preserve"> including freeboard, </w:t>
      </w:r>
      <w:r w:rsidR="00CF18B6">
        <w:t xml:space="preserve">fill or development restrictions, </w:t>
      </w:r>
      <w:r w:rsidR="008F3D6E">
        <w:t xml:space="preserve">and </w:t>
      </w:r>
      <w:r w:rsidR="008E2FB9">
        <w:t>more stringent floodway requirements</w:t>
      </w:r>
      <w:r w:rsidR="001635F0">
        <w:t>,</w:t>
      </w:r>
      <w:r w:rsidR="00AE4C14">
        <w:t xml:space="preserve"> can be </w:t>
      </w:r>
      <w:r w:rsidR="008E2FB9">
        <w:t>leveraged</w:t>
      </w:r>
      <w:r w:rsidR="00AE4C14">
        <w:t xml:space="preserve"> to better protect </w:t>
      </w:r>
      <w:r w:rsidR="009F3E6B">
        <w:t>people and property</w:t>
      </w:r>
      <w:r w:rsidR="00F820DC">
        <w:t xml:space="preserve"> from riverine flooding. </w:t>
      </w:r>
      <w:r w:rsidR="005536AC">
        <w:t>Municipalities can</w:t>
      </w:r>
      <w:r w:rsidR="00190E18">
        <w:t xml:space="preserve"> also</w:t>
      </w:r>
      <w:r w:rsidR="005536AC">
        <w:t xml:space="preserve"> </w:t>
      </w:r>
      <w:r w:rsidR="008E2FB9">
        <w:t>adopt</w:t>
      </w:r>
      <w:r w:rsidR="005536AC">
        <w:t xml:space="preserve"> flood risk data and studies beyond FEMA FIRMs</w:t>
      </w:r>
      <w:r w:rsidR="008E2FB9">
        <w:t>, referred to as Best Available Information,</w:t>
      </w:r>
      <w:r w:rsidR="005536AC">
        <w:t xml:space="preserve"> to regulate </w:t>
      </w:r>
      <w:r w:rsidR="00190E18">
        <w:t>floodplain development</w:t>
      </w:r>
      <w:r w:rsidR="008E2FB9">
        <w:t>.</w:t>
      </w:r>
    </w:p>
    <w:p w14:paraId="46E33347" w14:textId="519C9E0D" w:rsidR="0054711A" w:rsidRPr="00593783" w:rsidRDefault="00010404" w:rsidP="00162924">
      <w:pPr>
        <w:pStyle w:val="ListParagraph"/>
        <w:numPr>
          <w:ilvl w:val="0"/>
          <w:numId w:val="88"/>
        </w:numPr>
        <w:rPr>
          <w:rFonts w:hint="eastAsia"/>
        </w:rPr>
      </w:pPr>
      <w:r w:rsidRPr="00734799">
        <w:rPr>
          <w:b/>
          <w:bCs/>
        </w:rPr>
        <w:t xml:space="preserve">Facilitating </w:t>
      </w:r>
      <w:r w:rsidR="0060391A" w:rsidRPr="00734799">
        <w:rPr>
          <w:b/>
          <w:bCs/>
        </w:rPr>
        <w:t xml:space="preserve">Voluntary </w:t>
      </w:r>
      <w:r w:rsidR="009C3DD0" w:rsidRPr="00734799">
        <w:rPr>
          <w:b/>
          <w:bCs/>
        </w:rPr>
        <w:t>Property Acquisition</w:t>
      </w:r>
      <w:r w:rsidR="0060391A" w:rsidRPr="00734799">
        <w:rPr>
          <w:b/>
          <w:bCs/>
        </w:rPr>
        <w:t>s</w:t>
      </w:r>
      <w:r w:rsidR="008E2FB9">
        <w:t>: For properties with repeated or high riverine flood risk, voluntary property acquisitions can be included in community plans and programs.</w:t>
      </w:r>
    </w:p>
    <w:p w14:paraId="4577989B" w14:textId="77777777" w:rsidR="00053D81" w:rsidRPr="00511A36" w:rsidRDefault="00053D81" w:rsidP="00734799">
      <w:pPr>
        <w:pStyle w:val="ListParagraph"/>
        <w:rPr>
          <w:rFonts w:hint="eastAsia"/>
        </w:rPr>
      </w:pPr>
    </w:p>
    <w:p w14:paraId="42BD6226" w14:textId="0BEE2E80" w:rsidR="004D42B8" w:rsidRPr="00511A36" w:rsidRDefault="004D42B8" w:rsidP="002F2B65">
      <w:pPr>
        <w:pStyle w:val="Heading2"/>
        <w:rPr>
          <w:rFonts w:hint="eastAsia"/>
        </w:rPr>
      </w:pPr>
      <w:bookmarkStart w:id="43" w:name="_Ref228769826"/>
      <w:bookmarkStart w:id="44" w:name="_Toc233228221"/>
      <w:r w:rsidRPr="00511A36">
        <w:t>Coastal Flooding</w:t>
      </w:r>
      <w:bookmarkEnd w:id="43"/>
      <w:bookmarkEnd w:id="44"/>
    </w:p>
    <w:p w14:paraId="3A8FAFED" w14:textId="13EBC577" w:rsidR="00826A79" w:rsidRPr="00843358" w:rsidRDefault="00826A79" w:rsidP="00137FD7">
      <w:pPr>
        <w:pStyle w:val="Heading3"/>
        <w:rPr>
          <w:rFonts w:hint="eastAsia"/>
          <w:caps/>
        </w:rPr>
      </w:pPr>
      <w:bookmarkStart w:id="45" w:name="_Toc233228222"/>
      <w:r w:rsidRPr="00843358">
        <w:t>S</w:t>
      </w:r>
      <w:r w:rsidR="00AF2903" w:rsidRPr="00843358">
        <w:t>ea Level Rise</w:t>
      </w:r>
      <w:bookmarkEnd w:id="45"/>
      <w:r w:rsidR="00BC44ED" w:rsidRPr="00843358">
        <w:t xml:space="preserve"> </w:t>
      </w:r>
    </w:p>
    <w:p w14:paraId="09F44112" w14:textId="491D05C4" w:rsidR="004D42B8" w:rsidRPr="00511A36" w:rsidRDefault="00BC44ED" w:rsidP="003350BA">
      <w:pPr>
        <w:rPr>
          <w:rFonts w:hint="eastAsia"/>
        </w:rPr>
      </w:pPr>
      <w:r>
        <w:t>SLR</w:t>
      </w:r>
      <w:r w:rsidR="004D42B8" w:rsidRPr="00511A36">
        <w:t xml:space="preserve"> is anticipated to increase the frequency and extent of coastal flood events</w:t>
      </w:r>
      <w:r w:rsidR="003350BA" w:rsidRPr="00511A36">
        <w:t>,</w:t>
      </w:r>
      <w:r w:rsidR="004D42B8" w:rsidRPr="00511A36">
        <w:t xml:space="preserve"> thereby</w:t>
      </w:r>
      <w:r w:rsidR="00524735" w:rsidRPr="00511A36">
        <w:t xml:space="preserve"> </w:t>
      </w:r>
      <w:r w:rsidR="004D42B8" w:rsidRPr="00511A36">
        <w:t>increas</w:t>
      </w:r>
      <w:r w:rsidR="00524735" w:rsidRPr="00511A36">
        <w:t xml:space="preserve">ing </w:t>
      </w:r>
      <w:r w:rsidR="00137FD7">
        <w:t xml:space="preserve">the </w:t>
      </w:r>
      <w:r w:rsidR="004D42B8" w:rsidRPr="00511A36">
        <w:t>risk of coastal flooding in WestCOG’s shoreline communities. According to the Fifth National Climate Assessment, on a national scale, sea levels rose by approximately 0.05 inches (±0.01) per year between 1901 and 1900 and by approximately 0.13 inches (±0.02) per year between 1993 and 2022.</w:t>
      </w:r>
      <w:r w:rsidR="004D42B8" w:rsidRPr="00511A36">
        <w:rPr>
          <w:rStyle w:val="FootnoteReference"/>
        </w:rPr>
        <w:footnoteReference w:id="9"/>
      </w:r>
      <w:r w:rsidR="004D42B8" w:rsidRPr="00511A36">
        <w:t xml:space="preserve"> </w:t>
      </w:r>
      <w:r w:rsidR="00524735" w:rsidRPr="00511A36">
        <w:t>A</w:t>
      </w:r>
      <w:r w:rsidR="004D42B8" w:rsidRPr="00511A36">
        <w:t>dditionally, rates accelerated further between 2013 and 2022 at 0.17 inches per year.</w:t>
      </w:r>
      <w:r w:rsidR="0067101B" w:rsidRPr="00511A36">
        <w:t xml:space="preserve"> </w:t>
      </w:r>
      <w:r w:rsidR="004D42B8" w:rsidRPr="00511A36">
        <w:t xml:space="preserve">It is estimated that a global warming </w:t>
      </w:r>
      <w:r w:rsidR="003350BA" w:rsidRPr="00511A36">
        <w:t>increase of 2°C</w:t>
      </w:r>
      <w:r w:rsidR="004D42B8" w:rsidRPr="00511A36">
        <w:t xml:space="preserve"> would likely lead to a rise in sea </w:t>
      </w:r>
      <w:r w:rsidR="003350BA" w:rsidRPr="00511A36">
        <w:t>levels</w:t>
      </w:r>
      <w:r w:rsidR="004D42B8" w:rsidRPr="00511A36">
        <w:t xml:space="preserve"> between 2 and 3 feet by 2100 and possibly 2.5 to 5 feet by 2150, relative to 2000 sea levels.</w:t>
      </w:r>
      <w:r w:rsidR="0067101B" w:rsidRPr="00511A36">
        <w:t xml:space="preserve"> </w:t>
      </w:r>
      <w:r w:rsidR="004D42B8" w:rsidRPr="00511A36">
        <w:t xml:space="preserve">SLR is not consistent </w:t>
      </w:r>
      <w:r w:rsidR="00524735" w:rsidRPr="00511A36">
        <w:t>worldwide and is affected by local variations in currents, temperature, and changes in land-surface</w:t>
      </w:r>
      <w:r w:rsidR="004D42B8" w:rsidRPr="00511A36">
        <w:t xml:space="preserve"> elevation.</w:t>
      </w:r>
      <w:r w:rsidR="0067101B" w:rsidRPr="00511A36">
        <w:t xml:space="preserve"> </w:t>
      </w:r>
      <w:r w:rsidR="004D42B8" w:rsidRPr="00511A36">
        <w:t xml:space="preserve">The WestCOG communities </w:t>
      </w:r>
      <w:r w:rsidR="00524735" w:rsidRPr="00511A36">
        <w:t xml:space="preserve">along Long Island Sound are </w:t>
      </w:r>
      <w:r w:rsidR="004D42B8" w:rsidRPr="00511A36">
        <w:t>most likely to be affected by SLR.</w:t>
      </w:r>
    </w:p>
    <w:p w14:paraId="7A710735" w14:textId="77777777" w:rsidR="004D42B8" w:rsidRPr="00511A36" w:rsidRDefault="004D42B8" w:rsidP="003350BA">
      <w:pPr>
        <w:rPr>
          <w:rFonts w:hint="eastAsia"/>
        </w:rPr>
      </w:pPr>
      <w:r w:rsidRPr="00511A36">
        <w:t xml:space="preserve">The CIRCA Sea Level Rise Report (2016) explores trends and projections at a more local level for Connecticut. The Report notes that historic tidal data collected from the NOAA tide gauges (Bridgeport, New London, and Kings Point/Willets Point) clearly show a long-term increasing trend in sea levels. </w:t>
      </w:r>
    </w:p>
    <w:p w14:paraId="5D2E7AE2" w14:textId="0DB86875" w:rsidR="004D42B8" w:rsidRPr="00511A36" w:rsidRDefault="004D42B8" w:rsidP="003350BA">
      <w:pPr>
        <w:rPr>
          <w:rFonts w:hint="eastAsia"/>
        </w:rPr>
      </w:pPr>
      <w:r w:rsidRPr="00511A36">
        <w:t xml:space="preserve">A linear regression analysis </w:t>
      </w:r>
      <w:r w:rsidR="00BE118F">
        <w:t>conducted</w:t>
      </w:r>
      <w:r w:rsidR="00BE118F" w:rsidRPr="00511A36">
        <w:t xml:space="preserve"> </w:t>
      </w:r>
      <w:r w:rsidRPr="00511A36">
        <w:t>for the 2016 report found that between 1976 and 2016</w:t>
      </w:r>
      <w:r w:rsidR="00524735" w:rsidRPr="00511A36">
        <w:t>,</w:t>
      </w:r>
      <w:r w:rsidRPr="00511A36">
        <w:t xml:space="preserve"> the annual rate of increase at the Bridgeport station was 4.0mm (±1.8), </w:t>
      </w:r>
      <w:proofErr w:type="gramStart"/>
      <w:r w:rsidR="00BE118F">
        <w:t>at</w:t>
      </w:r>
      <w:proofErr w:type="gramEnd"/>
      <w:r w:rsidR="00BE118F">
        <w:t xml:space="preserve"> </w:t>
      </w:r>
      <w:r w:rsidRPr="00511A36">
        <w:t xml:space="preserve">New London was 4.1mm (±2.6), and </w:t>
      </w:r>
      <w:proofErr w:type="gramStart"/>
      <w:r w:rsidR="00BE118F">
        <w:t>at</w:t>
      </w:r>
      <w:proofErr w:type="gramEnd"/>
      <w:r w:rsidR="00BE118F">
        <w:t xml:space="preserve"> </w:t>
      </w:r>
      <w:r w:rsidRPr="00511A36">
        <w:t>Willets Point was 4.1mm (±2.4). As of April 2026, the NOAA stations report a trend of 3.43mm/year (±0.37) in Bridgeport from 1964 to 2025, a trend of 2.94mm/year (±0.21) in New London from 1938 to 2025, and 2.74mm/year (±0.19) at Kings Point from 1931 to 2024.</w:t>
      </w:r>
      <w:r w:rsidRPr="00511A36">
        <w:rPr>
          <w:rStyle w:val="FootnoteReference"/>
        </w:rPr>
        <w:footnoteReference w:id="10"/>
      </w:r>
      <w:r w:rsidR="00383887">
        <w:t xml:space="preserve"> </w:t>
      </w:r>
      <w:r w:rsidR="00383887" w:rsidRPr="00843358">
        <w:fldChar w:fldCharType="begin" w:fldLock="1"/>
      </w:r>
      <w:r w:rsidR="00383887" w:rsidRPr="00843358">
        <w:instrText xml:space="preserve"> REF _Ref228888439 \h </w:instrText>
      </w:r>
      <w:r w:rsidR="005E43AE" w:rsidRPr="00843358">
        <w:instrText xml:space="preserve"> \* MERGEFORMAT </w:instrText>
      </w:r>
      <w:r w:rsidR="00383887" w:rsidRPr="00843358">
        <w:fldChar w:fldCharType="separate"/>
      </w:r>
      <w:r w:rsidR="00AB64CB">
        <w:t xml:space="preserve">Figure </w:t>
      </w:r>
      <w:r w:rsidR="00AB64CB">
        <w:rPr>
          <w:noProof/>
        </w:rPr>
        <w:t>4</w:t>
      </w:r>
      <w:r w:rsidR="00383887" w:rsidRPr="00843358">
        <w:fldChar w:fldCharType="end"/>
      </w:r>
      <w:r w:rsidR="00383887">
        <w:t xml:space="preserve"> s</w:t>
      </w:r>
      <w:r w:rsidRPr="00511A36">
        <w:t xml:space="preserve">hows the relative SLR trend for Bridgeport, CT, the station closest to WestCOG. </w:t>
      </w:r>
    </w:p>
    <w:p w14:paraId="626596D5" w14:textId="77777777" w:rsidR="00383887" w:rsidRDefault="004D42B8" w:rsidP="00734799">
      <w:pPr>
        <w:keepNext/>
        <w:rPr>
          <w:rFonts w:hint="eastAsia"/>
        </w:rPr>
      </w:pPr>
      <w:r w:rsidRPr="00BF6B8D">
        <w:rPr>
          <w:noProof/>
        </w:rPr>
        <w:drawing>
          <wp:inline distT="0" distB="0" distL="0" distR="0" wp14:anchorId="23F4A145" wp14:editId="7ADB8D29">
            <wp:extent cx="5943600" cy="2377440"/>
            <wp:effectExtent l="0" t="0" r="0" b="3810"/>
            <wp:docPr id="113855535" name="Picture 113855535" descr="mean trend 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an trend plo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377440"/>
                    </a:xfrm>
                    <a:prstGeom prst="rect">
                      <a:avLst/>
                    </a:prstGeom>
                    <a:noFill/>
                    <a:ln>
                      <a:noFill/>
                    </a:ln>
                  </pic:spPr>
                </pic:pic>
              </a:graphicData>
            </a:graphic>
          </wp:inline>
        </w:drawing>
      </w:r>
    </w:p>
    <w:p w14:paraId="487791C9" w14:textId="768C04E0" w:rsidR="00707D72" w:rsidRDefault="00383887" w:rsidP="00383887">
      <w:pPr>
        <w:pStyle w:val="Caption"/>
        <w:rPr>
          <w:rFonts w:hint="eastAsia"/>
        </w:rPr>
      </w:pPr>
      <w:bookmarkStart w:id="46" w:name="_Ref228888439"/>
      <w:bookmarkStart w:id="47" w:name="_Toc233228243"/>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sidR="00CD3F8E">
        <w:rPr>
          <w:b/>
          <w:bCs/>
          <w:noProof/>
        </w:rPr>
        <w:t>4</w:t>
      </w:r>
      <w:r w:rsidRPr="00162924">
        <w:rPr>
          <w:b/>
          <w:bCs/>
          <w:noProof/>
        </w:rPr>
        <w:fldChar w:fldCharType="end"/>
      </w:r>
      <w:bookmarkEnd w:id="46"/>
      <w:r w:rsidRPr="00162924">
        <w:rPr>
          <w:rFonts w:hint="eastAsia"/>
          <w:b/>
          <w:bCs/>
        </w:rPr>
        <w:t>.</w:t>
      </w:r>
      <w:r>
        <w:t xml:space="preserve"> </w:t>
      </w:r>
      <w:r w:rsidRPr="007E5421">
        <w:t>Relative SLR trend at Bridgeport, CT</w:t>
      </w:r>
      <w:bookmarkEnd w:id="47"/>
    </w:p>
    <w:p w14:paraId="6A7CB14A" w14:textId="77777777" w:rsidR="00DA00B6" w:rsidRDefault="00DA00B6" w:rsidP="00E021BC">
      <w:pPr>
        <w:rPr>
          <w:rFonts w:hint="eastAsia"/>
        </w:rPr>
      </w:pPr>
    </w:p>
    <w:p w14:paraId="210A5169" w14:textId="194EB35C" w:rsidR="004D42B8" w:rsidRPr="00511A36" w:rsidRDefault="004D42B8" w:rsidP="00E021BC">
      <w:pPr>
        <w:rPr>
          <w:rFonts w:hint="eastAsia"/>
        </w:rPr>
      </w:pPr>
      <w:r w:rsidRPr="00511A36">
        <w:t>According to the NOAA Technical Report OAR CPO-1, the worst-case scenario for SLR by 2100 is a global average of 6.6 feet above the 1992 mean sea level. CIRCA has developed SLR projections for Connecticut, establishing a “planning threshold” of a 0.5-meter (1.64 feet or nearly 20 inches) rise in sea level expected by 2050 and has defined a “caution threshold” of 1.0 meters (3.28 feet) in SLR expected in the period 2060-2090.</w:t>
      </w:r>
      <w:r w:rsidRPr="00511A36">
        <w:rPr>
          <w:rStyle w:val="FootnoteReference"/>
        </w:rPr>
        <w:footnoteReference w:id="11"/>
      </w:r>
      <w:r w:rsidRPr="00511A36">
        <w:t xml:space="preserve"> The planning threshold is required by Statute for certain types of planning in Connecticut.</w:t>
      </w:r>
      <w:r w:rsidR="0067101B" w:rsidRPr="00511A36">
        <w:t xml:space="preserve">  </w:t>
      </w:r>
    </w:p>
    <w:p w14:paraId="23E1F2E0" w14:textId="74A4044D" w:rsidR="004D42B8" w:rsidRPr="00511A36" w:rsidRDefault="004D42B8" w:rsidP="00E021BC">
      <w:pPr>
        <w:rPr>
          <w:rFonts w:hint="eastAsia"/>
        </w:rPr>
      </w:pPr>
      <w:r w:rsidRPr="00511A36">
        <w:t xml:space="preserve">CIRCA developed SLR </w:t>
      </w:r>
      <w:r w:rsidR="00711EF4">
        <w:t>layers</w:t>
      </w:r>
      <w:r w:rsidRPr="00511A36">
        <w:t xml:space="preserve"> for Mean Higher High Water (MHHW) and storm surge water levels </w:t>
      </w:r>
      <w:r w:rsidR="007D66E5">
        <w:t>at</w:t>
      </w:r>
      <w:r w:rsidR="007D66E5" w:rsidRPr="00511A36">
        <w:t xml:space="preserve"> </w:t>
      </w:r>
      <w:r w:rsidRPr="00511A36">
        <w:t xml:space="preserve">select recurrence intervals. </w:t>
      </w:r>
      <w:r w:rsidR="00222D93">
        <w:t>These layers can be viewed via the Connecticut Sea Level Rise and Storm Surge Viewer.</w:t>
      </w:r>
      <w:r w:rsidR="00222D93">
        <w:rPr>
          <w:rStyle w:val="FootnoteReference"/>
        </w:rPr>
        <w:footnoteReference w:id="12"/>
      </w:r>
      <w:r w:rsidR="00222D93">
        <w:t xml:space="preserve"> </w:t>
      </w:r>
    </w:p>
    <w:p w14:paraId="36C62FEF" w14:textId="61ABE38A" w:rsidR="00280000" w:rsidRPr="00511A36" w:rsidRDefault="00280000" w:rsidP="00734799">
      <w:pPr>
        <w:rPr>
          <w:rFonts w:hint="eastAsia"/>
        </w:rPr>
      </w:pPr>
      <w:r w:rsidRPr="00511A36">
        <w:t>Additional SLR layers are also available on CT ECO</w:t>
      </w:r>
      <w:r w:rsidR="00562D4F">
        <w:t>,</w:t>
      </w:r>
      <w:r w:rsidRPr="00511A36">
        <w:t xml:space="preserve"> a partnership between UConn and CT DEEP.</w:t>
      </w:r>
      <w:r w:rsidRPr="00511A36">
        <w:rPr>
          <w:rStyle w:val="FootnoteReference"/>
        </w:rPr>
        <w:footnoteReference w:id="13"/>
      </w:r>
      <w:r w:rsidRPr="00511A36">
        <w:t xml:space="preserve"> Each reflects what inundation might look like at one of two tide levels: mean high water (MHW) or the average monthly maximum water level (AMM). AMM attempts to quantify the maximum extent of tidally influenced water levels. </w:t>
      </w:r>
      <w:r w:rsidR="002764DD" w:rsidRPr="00843358">
        <w:fldChar w:fldCharType="begin" w:fldLock="1"/>
      </w:r>
      <w:r w:rsidR="002764DD" w:rsidRPr="00843358">
        <w:instrText xml:space="preserve"> REF _Ref228888133 \h </w:instrText>
      </w:r>
      <w:r w:rsidR="005E43AE" w:rsidRPr="00843358">
        <w:instrText xml:space="preserve"> \* MERGEFORMAT </w:instrText>
      </w:r>
      <w:r w:rsidR="002764DD" w:rsidRPr="00843358">
        <w:fldChar w:fldCharType="separate"/>
      </w:r>
      <w:r w:rsidR="00AB64CB">
        <w:t xml:space="preserve">Table </w:t>
      </w:r>
      <w:r w:rsidR="00AB64CB">
        <w:rPr>
          <w:noProof/>
        </w:rPr>
        <w:t>6</w:t>
      </w:r>
      <w:r w:rsidR="002764DD" w:rsidRPr="00843358">
        <w:fldChar w:fldCharType="end"/>
      </w:r>
      <w:r w:rsidRPr="00511A36">
        <w:t xml:space="preserve"> below describes the sea level rise value, its source, and applicable time frame.</w:t>
      </w:r>
    </w:p>
    <w:p w14:paraId="59E845BA" w14:textId="222135E6" w:rsidR="002764DD" w:rsidRDefault="002764DD" w:rsidP="00734799">
      <w:pPr>
        <w:pStyle w:val="Caption"/>
        <w:keepNext/>
        <w:rPr>
          <w:rFonts w:hint="eastAsia"/>
        </w:rPr>
      </w:pPr>
      <w:bookmarkStart w:id="48" w:name="_Ref228888133"/>
      <w:bookmarkStart w:id="49" w:name="_Toc233227499"/>
      <w:r w:rsidRPr="00162924">
        <w:rPr>
          <w:rFonts w:hint="eastAsia"/>
          <w:b/>
          <w:bCs/>
        </w:rPr>
        <w:t xml:space="preserve">Table </w:t>
      </w:r>
      <w:r w:rsidRPr="00162924">
        <w:rPr>
          <w:b/>
          <w:bCs/>
        </w:rPr>
        <w:fldChar w:fldCharType="begin"/>
      </w:r>
      <w:r w:rsidRPr="00162924">
        <w:rPr>
          <w:rFonts w:hint="eastAsia"/>
          <w:b/>
          <w:bCs/>
        </w:rPr>
        <w:instrText xml:space="preserve"> SEQ Table \* ARABIC </w:instrText>
      </w:r>
      <w:r w:rsidRPr="00162924">
        <w:rPr>
          <w:b/>
          <w:bCs/>
        </w:rPr>
        <w:fldChar w:fldCharType="separate"/>
      </w:r>
      <w:r w:rsidR="00AB64CB" w:rsidRPr="00162924">
        <w:rPr>
          <w:rFonts w:hint="eastAsia"/>
          <w:b/>
          <w:bCs/>
          <w:noProof/>
        </w:rPr>
        <w:t>6</w:t>
      </w:r>
      <w:r w:rsidRPr="00162924">
        <w:rPr>
          <w:b/>
          <w:bCs/>
          <w:noProof/>
        </w:rPr>
        <w:fldChar w:fldCharType="end"/>
      </w:r>
      <w:bookmarkEnd w:id="48"/>
      <w:r w:rsidRPr="00162924">
        <w:rPr>
          <w:rFonts w:hint="eastAsia"/>
          <w:b/>
          <w:bCs/>
        </w:rPr>
        <w:t>.</w:t>
      </w:r>
      <w:r>
        <w:t xml:space="preserve"> </w:t>
      </w:r>
      <w:r w:rsidRPr="009D6C7F">
        <w:t>SLR Visualization Data Available from CT DEEP.</w:t>
      </w:r>
      <w:bookmarkEnd w:id="49"/>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5400"/>
        <w:gridCol w:w="2245"/>
      </w:tblGrid>
      <w:tr w:rsidR="00280000" w:rsidRPr="00511A36" w14:paraId="5453374B" w14:textId="77777777" w:rsidTr="00162924">
        <w:trPr>
          <w:cnfStyle w:val="100000000000" w:firstRow="1" w:lastRow="0" w:firstColumn="0" w:lastColumn="0" w:oddVBand="0" w:evenVBand="0" w:oddHBand="0" w:evenHBand="0" w:firstRowFirstColumn="0" w:firstRowLastColumn="0" w:lastRowFirstColumn="0" w:lastRowLastColumn="0"/>
          <w:trHeight w:val="431"/>
          <w:tblHead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6C29C06F" w14:textId="77777777" w:rsidR="00280000" w:rsidRPr="00511A36" w:rsidRDefault="00280000">
            <w:pPr>
              <w:jc w:val="center"/>
              <w:rPr>
                <w:rFonts w:hint="eastAsia"/>
              </w:rPr>
            </w:pPr>
            <w:r w:rsidRPr="00511A36">
              <w:t>SLR (in)</w:t>
            </w:r>
          </w:p>
        </w:tc>
        <w:tc>
          <w:tcPr>
            <w:tcW w:w="5400" w:type="dxa"/>
            <w:vAlign w:val="center"/>
          </w:tcPr>
          <w:p w14:paraId="18C84FA6" w14:textId="77777777" w:rsidR="00280000" w:rsidRPr="00511A36" w:rsidRDefault="00280000">
            <w:pPr>
              <w:jc w:val="center"/>
              <w:cnfStyle w:val="100000000000" w:firstRow="1" w:lastRow="0" w:firstColumn="0" w:lastColumn="0" w:oddVBand="0" w:evenVBand="0" w:oddHBand="0" w:evenHBand="0" w:firstRowFirstColumn="0" w:firstRowLastColumn="0" w:lastRowFirstColumn="0" w:lastRowLastColumn="0"/>
              <w:rPr>
                <w:rFonts w:hint="eastAsia"/>
              </w:rPr>
            </w:pPr>
            <w:r w:rsidRPr="00511A36">
              <w:t>Approximate Relation to Scientific Data</w:t>
            </w:r>
          </w:p>
        </w:tc>
        <w:tc>
          <w:tcPr>
            <w:tcW w:w="2245" w:type="dxa"/>
            <w:vAlign w:val="center"/>
          </w:tcPr>
          <w:p w14:paraId="57A44761" w14:textId="77777777" w:rsidR="00280000" w:rsidRPr="00511A36" w:rsidRDefault="00280000">
            <w:pPr>
              <w:jc w:val="center"/>
              <w:cnfStyle w:val="100000000000" w:firstRow="1" w:lastRow="0" w:firstColumn="0" w:lastColumn="0" w:oddVBand="0" w:evenVBand="0" w:oddHBand="0" w:evenHBand="0" w:firstRowFirstColumn="0" w:firstRowLastColumn="0" w:lastRowFirstColumn="0" w:lastRowLastColumn="0"/>
              <w:rPr>
                <w:rFonts w:hint="eastAsia"/>
              </w:rPr>
            </w:pPr>
            <w:r w:rsidRPr="00511A36">
              <w:t>Planning Horizon</w:t>
            </w:r>
          </w:p>
        </w:tc>
      </w:tr>
      <w:tr w:rsidR="00280000" w:rsidRPr="00511A36" w14:paraId="4B8E7369" w14:textId="77777777" w:rsidTr="00162924">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177D1708" w14:textId="77777777" w:rsidR="00280000" w:rsidRPr="00511A36" w:rsidRDefault="00280000">
            <w:pPr>
              <w:jc w:val="center"/>
              <w:rPr>
                <w:rFonts w:hint="eastAsia"/>
              </w:rPr>
            </w:pPr>
            <w:r w:rsidRPr="00511A36">
              <w:rPr>
                <w:color w:val="000000"/>
              </w:rPr>
              <w:t>6 in</w:t>
            </w:r>
          </w:p>
        </w:tc>
        <w:tc>
          <w:tcPr>
            <w:tcW w:w="5400" w:type="dxa"/>
            <w:vAlign w:val="center"/>
          </w:tcPr>
          <w:p w14:paraId="34E95F21" w14:textId="77777777" w:rsidR="00280000" w:rsidRPr="00511A36" w:rsidRDefault="00280000">
            <w:pP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Average 2004 Environmental Defense Hi/Low emissions</w:t>
            </w:r>
          </w:p>
        </w:tc>
        <w:tc>
          <w:tcPr>
            <w:tcW w:w="2245" w:type="dxa"/>
            <w:vAlign w:val="center"/>
          </w:tcPr>
          <w:p w14:paraId="77F34AEE" w14:textId="77777777" w:rsidR="00280000" w:rsidRPr="00511A36" w:rsidRDefault="00280000">
            <w:pPr>
              <w:jc w:val="cente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2020</w:t>
            </w:r>
          </w:p>
        </w:tc>
      </w:tr>
      <w:tr w:rsidR="00280000" w:rsidRPr="00511A36" w14:paraId="516AA88B" w14:textId="77777777" w:rsidTr="00162924">
        <w:trPr>
          <w:trHeight w:val="431"/>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32EE732A" w14:textId="77777777" w:rsidR="00280000" w:rsidRPr="00511A36" w:rsidRDefault="00280000">
            <w:pPr>
              <w:jc w:val="center"/>
              <w:rPr>
                <w:rFonts w:hint="eastAsia"/>
              </w:rPr>
            </w:pPr>
            <w:r w:rsidRPr="00511A36">
              <w:rPr>
                <w:color w:val="000000"/>
              </w:rPr>
              <w:t>12 in</w:t>
            </w:r>
          </w:p>
        </w:tc>
        <w:tc>
          <w:tcPr>
            <w:tcW w:w="5400" w:type="dxa"/>
            <w:vAlign w:val="center"/>
          </w:tcPr>
          <w:p w14:paraId="00C4DAF1" w14:textId="77777777" w:rsidR="00280000" w:rsidRPr="00511A36" w:rsidRDefault="00280000">
            <w:pPr>
              <w:cnfStyle w:val="000000000000" w:firstRow="0" w:lastRow="0" w:firstColumn="0" w:lastColumn="0" w:oddVBand="0" w:evenVBand="0" w:oddHBand="0" w:evenHBand="0" w:firstRowFirstColumn="0" w:firstRowLastColumn="0" w:lastRowFirstColumn="0" w:lastRowLastColumn="0"/>
              <w:rPr>
                <w:rFonts w:hint="eastAsia"/>
              </w:rPr>
            </w:pPr>
            <w:r w:rsidRPr="00511A36">
              <w:rPr>
                <w:color w:val="000000"/>
              </w:rPr>
              <w:t>Average 2004 Environmental Defense Hi/Low emissions</w:t>
            </w:r>
          </w:p>
        </w:tc>
        <w:tc>
          <w:tcPr>
            <w:tcW w:w="2245" w:type="dxa"/>
            <w:vAlign w:val="center"/>
          </w:tcPr>
          <w:p w14:paraId="1B100A5F" w14:textId="77777777" w:rsidR="00280000" w:rsidRPr="00511A36" w:rsidRDefault="00280000">
            <w:pPr>
              <w:jc w:val="center"/>
              <w:cnfStyle w:val="000000000000" w:firstRow="0" w:lastRow="0" w:firstColumn="0" w:lastColumn="0" w:oddVBand="0" w:evenVBand="0" w:oddHBand="0" w:evenHBand="0" w:firstRowFirstColumn="0" w:firstRowLastColumn="0" w:lastRowFirstColumn="0" w:lastRowLastColumn="0"/>
              <w:rPr>
                <w:rFonts w:hint="eastAsia"/>
              </w:rPr>
            </w:pPr>
            <w:r w:rsidRPr="00511A36">
              <w:rPr>
                <w:color w:val="000000"/>
              </w:rPr>
              <w:t>2050</w:t>
            </w:r>
          </w:p>
        </w:tc>
      </w:tr>
      <w:tr w:rsidR="00280000" w:rsidRPr="00511A36" w14:paraId="2BB4CF76" w14:textId="77777777" w:rsidTr="00162924">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03D0AD29" w14:textId="77777777" w:rsidR="00280000" w:rsidRPr="00511A36" w:rsidRDefault="00280000">
            <w:pPr>
              <w:jc w:val="center"/>
              <w:rPr>
                <w:rFonts w:hint="eastAsia"/>
              </w:rPr>
            </w:pPr>
            <w:r w:rsidRPr="00511A36">
              <w:rPr>
                <w:color w:val="000000"/>
              </w:rPr>
              <w:t>18 in</w:t>
            </w:r>
          </w:p>
        </w:tc>
        <w:tc>
          <w:tcPr>
            <w:tcW w:w="5400" w:type="dxa"/>
            <w:vAlign w:val="center"/>
          </w:tcPr>
          <w:p w14:paraId="778FB2CA" w14:textId="77777777" w:rsidR="00280000" w:rsidRPr="00511A36" w:rsidRDefault="00280000">
            <w:pP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2004 Environmental Defense High Emissions</w:t>
            </w:r>
          </w:p>
        </w:tc>
        <w:tc>
          <w:tcPr>
            <w:tcW w:w="2245" w:type="dxa"/>
            <w:vAlign w:val="center"/>
          </w:tcPr>
          <w:p w14:paraId="5ECAF8BA" w14:textId="77777777" w:rsidR="00280000" w:rsidRPr="00511A36" w:rsidRDefault="00280000">
            <w:pPr>
              <w:jc w:val="cente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2050</w:t>
            </w:r>
          </w:p>
        </w:tc>
      </w:tr>
      <w:tr w:rsidR="00280000" w:rsidRPr="00511A36" w14:paraId="1C7EA4D4" w14:textId="77777777" w:rsidTr="00162924">
        <w:trPr>
          <w:trHeight w:val="449"/>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5287BE2E" w14:textId="77777777" w:rsidR="00280000" w:rsidRPr="00511A36" w:rsidRDefault="00280000">
            <w:pPr>
              <w:jc w:val="center"/>
              <w:rPr>
                <w:rFonts w:hint="eastAsia"/>
              </w:rPr>
            </w:pPr>
            <w:r w:rsidRPr="00511A36">
              <w:rPr>
                <w:color w:val="000000"/>
              </w:rPr>
              <w:t>24 in</w:t>
            </w:r>
          </w:p>
        </w:tc>
        <w:tc>
          <w:tcPr>
            <w:tcW w:w="5400" w:type="dxa"/>
            <w:vAlign w:val="center"/>
          </w:tcPr>
          <w:p w14:paraId="3C97BC29" w14:textId="77777777" w:rsidR="00280000" w:rsidRPr="00511A36" w:rsidRDefault="00280000">
            <w:pPr>
              <w:cnfStyle w:val="000000000000" w:firstRow="0" w:lastRow="0" w:firstColumn="0" w:lastColumn="0" w:oddVBand="0" w:evenVBand="0" w:oddHBand="0" w:evenHBand="0" w:firstRowFirstColumn="0" w:firstRowLastColumn="0" w:lastRowFirstColumn="0" w:lastRowLastColumn="0"/>
              <w:rPr>
                <w:rFonts w:hint="eastAsia"/>
              </w:rPr>
            </w:pPr>
            <w:r w:rsidRPr="00511A36">
              <w:rPr>
                <w:color w:val="000000"/>
              </w:rPr>
              <w:t>2007 IPCC High Emissions</w:t>
            </w:r>
          </w:p>
        </w:tc>
        <w:tc>
          <w:tcPr>
            <w:tcW w:w="2245" w:type="dxa"/>
            <w:vAlign w:val="center"/>
          </w:tcPr>
          <w:p w14:paraId="241A3562" w14:textId="77777777" w:rsidR="00280000" w:rsidRPr="00511A36" w:rsidRDefault="00280000">
            <w:pPr>
              <w:jc w:val="center"/>
              <w:cnfStyle w:val="000000000000" w:firstRow="0" w:lastRow="0" w:firstColumn="0" w:lastColumn="0" w:oddVBand="0" w:evenVBand="0" w:oddHBand="0" w:evenHBand="0" w:firstRowFirstColumn="0" w:firstRowLastColumn="0" w:lastRowFirstColumn="0" w:lastRowLastColumn="0"/>
              <w:rPr>
                <w:rFonts w:hint="eastAsia"/>
              </w:rPr>
            </w:pPr>
            <w:r w:rsidRPr="00511A36">
              <w:rPr>
                <w:color w:val="000000"/>
              </w:rPr>
              <w:t>2100</w:t>
            </w:r>
          </w:p>
        </w:tc>
      </w:tr>
      <w:tr w:rsidR="00280000" w:rsidRPr="00511A36" w14:paraId="0684B8B8" w14:textId="77777777" w:rsidTr="00162924">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418623A5" w14:textId="77777777" w:rsidR="00280000" w:rsidRPr="00511A36" w:rsidRDefault="00280000">
            <w:pPr>
              <w:jc w:val="center"/>
              <w:rPr>
                <w:rFonts w:hint="eastAsia"/>
              </w:rPr>
            </w:pPr>
            <w:r w:rsidRPr="00511A36">
              <w:rPr>
                <w:color w:val="000000"/>
              </w:rPr>
              <w:t>36 in</w:t>
            </w:r>
          </w:p>
        </w:tc>
        <w:tc>
          <w:tcPr>
            <w:tcW w:w="5400" w:type="dxa"/>
            <w:vAlign w:val="center"/>
          </w:tcPr>
          <w:p w14:paraId="5212477C" w14:textId="77777777" w:rsidR="00280000" w:rsidRPr="00511A36" w:rsidRDefault="00280000">
            <w:pP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2004 Environmental Defense High Emissions</w:t>
            </w:r>
          </w:p>
        </w:tc>
        <w:tc>
          <w:tcPr>
            <w:tcW w:w="2245" w:type="dxa"/>
            <w:vAlign w:val="center"/>
          </w:tcPr>
          <w:p w14:paraId="224D3205" w14:textId="77777777" w:rsidR="00280000" w:rsidRPr="00511A36" w:rsidRDefault="00280000">
            <w:pPr>
              <w:jc w:val="cente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2080</w:t>
            </w:r>
          </w:p>
        </w:tc>
      </w:tr>
      <w:tr w:rsidR="00280000" w:rsidRPr="00511A36" w14:paraId="1EB5CEFC" w14:textId="77777777" w:rsidTr="00162924">
        <w:trPr>
          <w:trHeight w:val="440"/>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2CAF2896" w14:textId="77777777" w:rsidR="00280000" w:rsidRPr="00511A36" w:rsidRDefault="00280000">
            <w:pPr>
              <w:jc w:val="center"/>
              <w:rPr>
                <w:rFonts w:hint="eastAsia"/>
              </w:rPr>
            </w:pPr>
            <w:r w:rsidRPr="00511A36">
              <w:rPr>
                <w:color w:val="000000"/>
              </w:rPr>
              <w:t>60 in</w:t>
            </w:r>
          </w:p>
        </w:tc>
        <w:tc>
          <w:tcPr>
            <w:tcW w:w="5400" w:type="dxa"/>
            <w:vAlign w:val="center"/>
          </w:tcPr>
          <w:p w14:paraId="56B4CFBE" w14:textId="4E09E31D" w:rsidR="00280000" w:rsidRPr="00511A36" w:rsidRDefault="00280000">
            <w:pPr>
              <w:cnfStyle w:val="000000000000" w:firstRow="0" w:lastRow="0" w:firstColumn="0" w:lastColumn="0" w:oddVBand="0" w:evenVBand="0" w:oddHBand="0" w:evenHBand="0" w:firstRowFirstColumn="0" w:firstRowLastColumn="0" w:lastRowFirstColumn="0" w:lastRowLastColumn="0"/>
              <w:rPr>
                <w:rFonts w:hint="eastAsia"/>
              </w:rPr>
            </w:pPr>
            <w:r>
              <w:rPr>
                <w:color w:val="000000"/>
              </w:rPr>
              <w:t>N/A</w:t>
            </w:r>
            <w:r w:rsidRPr="00511A36">
              <w:rPr>
                <w:color w:val="000000"/>
              </w:rPr>
              <w:t xml:space="preserve"> – gap filler</w:t>
            </w:r>
            <w:r>
              <w:rPr>
                <w:color w:val="000000"/>
              </w:rPr>
              <w:t>*</w:t>
            </w:r>
          </w:p>
        </w:tc>
        <w:tc>
          <w:tcPr>
            <w:tcW w:w="2245" w:type="dxa"/>
            <w:vAlign w:val="center"/>
          </w:tcPr>
          <w:p w14:paraId="71929046" w14:textId="77777777" w:rsidR="00280000" w:rsidRPr="00511A36" w:rsidRDefault="00280000">
            <w:pPr>
              <w:jc w:val="center"/>
              <w:cnfStyle w:val="000000000000" w:firstRow="0" w:lastRow="0" w:firstColumn="0" w:lastColumn="0" w:oddVBand="0" w:evenVBand="0" w:oddHBand="0" w:evenHBand="0" w:firstRowFirstColumn="0" w:firstRowLastColumn="0" w:lastRowFirstColumn="0" w:lastRowLastColumn="0"/>
              <w:rPr>
                <w:rFonts w:hint="eastAsia"/>
              </w:rPr>
            </w:pPr>
            <w:r w:rsidRPr="00511A36">
              <w:rPr>
                <w:color w:val="000000"/>
              </w:rPr>
              <w:t>n/a</w:t>
            </w:r>
          </w:p>
        </w:tc>
      </w:tr>
      <w:tr w:rsidR="00280000" w:rsidRPr="00511A36" w14:paraId="0858D2CE" w14:textId="77777777" w:rsidTr="00162924">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3FD24F45" w14:textId="77777777" w:rsidR="00280000" w:rsidRPr="00511A36" w:rsidRDefault="00280000">
            <w:pPr>
              <w:jc w:val="center"/>
              <w:rPr>
                <w:rFonts w:hint="eastAsia"/>
              </w:rPr>
            </w:pPr>
            <w:r w:rsidRPr="00511A36">
              <w:rPr>
                <w:color w:val="000000"/>
              </w:rPr>
              <w:t>79 in</w:t>
            </w:r>
          </w:p>
        </w:tc>
        <w:tc>
          <w:tcPr>
            <w:tcW w:w="5400" w:type="dxa"/>
            <w:vAlign w:val="center"/>
          </w:tcPr>
          <w:p w14:paraId="0237ECFA" w14:textId="77777777" w:rsidR="00280000" w:rsidRPr="00511A36" w:rsidRDefault="00280000">
            <w:pP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Pfeffer et al. 2008</w:t>
            </w:r>
          </w:p>
        </w:tc>
        <w:tc>
          <w:tcPr>
            <w:tcW w:w="2245" w:type="dxa"/>
            <w:vAlign w:val="center"/>
          </w:tcPr>
          <w:p w14:paraId="368ADD4E" w14:textId="77777777" w:rsidR="00280000" w:rsidRPr="00511A36" w:rsidRDefault="00280000">
            <w:pPr>
              <w:jc w:val="center"/>
              <w:cnfStyle w:val="000000100000" w:firstRow="0" w:lastRow="0" w:firstColumn="0" w:lastColumn="0" w:oddVBand="0" w:evenVBand="0" w:oddHBand="1" w:evenHBand="0" w:firstRowFirstColumn="0" w:firstRowLastColumn="0" w:lastRowFirstColumn="0" w:lastRowLastColumn="0"/>
              <w:rPr>
                <w:rFonts w:hint="eastAsia"/>
              </w:rPr>
            </w:pPr>
            <w:r w:rsidRPr="00511A36">
              <w:rPr>
                <w:color w:val="000000"/>
              </w:rPr>
              <w:t>2100</w:t>
            </w:r>
          </w:p>
        </w:tc>
      </w:tr>
    </w:tbl>
    <w:p w14:paraId="529BEEAB" w14:textId="7F1AD2F0" w:rsidR="00280000" w:rsidRPr="00E747FD" w:rsidRDefault="00280000" w:rsidP="00280000">
      <w:pPr>
        <w:rPr>
          <w:rFonts w:hint="eastAsia"/>
          <w:szCs w:val="20"/>
        </w:rPr>
      </w:pPr>
      <w:r w:rsidRPr="00E747FD">
        <w:rPr>
          <w:szCs w:val="20"/>
        </w:rPr>
        <w:t xml:space="preserve">*The 60 inches of SLR layer was </w:t>
      </w:r>
      <w:proofErr w:type="gramStart"/>
      <w:r w:rsidR="00087E19" w:rsidRPr="00902BD6">
        <w:rPr>
          <w:szCs w:val="20"/>
        </w:rPr>
        <w:t>developed</w:t>
      </w:r>
      <w:r w:rsidR="007923C9">
        <w:rPr>
          <w:szCs w:val="20"/>
        </w:rPr>
        <w:t>,</w:t>
      </w:r>
      <w:r w:rsidR="00087E19">
        <w:rPr>
          <w:szCs w:val="20"/>
        </w:rPr>
        <w:t xml:space="preserve"> but</w:t>
      </w:r>
      <w:proofErr w:type="gramEnd"/>
      <w:r w:rsidRPr="00E747FD">
        <w:rPr>
          <w:szCs w:val="20"/>
        </w:rPr>
        <w:t xml:space="preserve"> does not have a global or regional estimate associated with a particular planning horizon backing its development.  </w:t>
      </w:r>
    </w:p>
    <w:p w14:paraId="1D7EC0A2" w14:textId="78DA4F6E" w:rsidR="00280000" w:rsidRDefault="00280000" w:rsidP="00280000">
      <w:pPr>
        <w:rPr>
          <w:rFonts w:hint="eastAsia"/>
        </w:rPr>
      </w:pPr>
      <w:r w:rsidRPr="00511A36">
        <w:t xml:space="preserve">The present-day baseline conditions and the 18 inches of SLR scenario are </w:t>
      </w:r>
      <w:r w:rsidR="00BA450B">
        <w:t xml:space="preserve">available </w:t>
      </w:r>
      <w:r w:rsidRPr="00511A36">
        <w:t>for both MHW and the AMM</w:t>
      </w:r>
      <w:r w:rsidR="00C6328B">
        <w:t xml:space="preserve"> in </w:t>
      </w:r>
      <w:r w:rsidR="00C6328B" w:rsidRPr="00843358">
        <w:fldChar w:fldCharType="begin" w:fldLock="1"/>
      </w:r>
      <w:r w:rsidR="00C6328B" w:rsidRPr="00843358">
        <w:instrText xml:space="preserve"> REF _Ref228512228 \h </w:instrText>
      </w:r>
      <w:r w:rsidR="005E43AE" w:rsidRPr="00843358">
        <w:instrText xml:space="preserve"> \* MERGEFORMAT </w:instrText>
      </w:r>
      <w:r w:rsidR="00C6328B" w:rsidRPr="00843358">
        <w:fldChar w:fldCharType="separate"/>
      </w:r>
      <w:r w:rsidR="00AB64CB" w:rsidRPr="002508EE">
        <w:rPr>
          <w:rFonts w:eastAsia="Arial"/>
        </w:rPr>
        <w:t>Appendix A: Maps</w:t>
      </w:r>
      <w:r w:rsidR="00C6328B" w:rsidRPr="00843358">
        <w:fldChar w:fldCharType="end"/>
      </w:r>
      <w:r w:rsidRPr="00843358">
        <w:t>.</w:t>
      </w:r>
      <w:r w:rsidRPr="00511A36">
        <w:t xml:space="preserve"> This SLR scenario aligns most closely with the 2050 time-horizon SLR scenario used in CIRCA’s analysis, which asserts that municipalities should plan for 20 inches of SLR by 2050. Areas along the Saugatuck River in the Town of Westport and </w:t>
      </w:r>
      <w:r w:rsidR="007923C9">
        <w:t xml:space="preserve">the </w:t>
      </w:r>
      <w:r w:rsidRPr="00511A36">
        <w:t xml:space="preserve">Norwalk River in the City of Norwalk face the most acreage inundated along coastal WestCOG, according to these projections. Ultimately, all coastal communities in WestCOG will be affected by rising sea levels. </w:t>
      </w:r>
    </w:p>
    <w:p w14:paraId="1164F861" w14:textId="184F1EB5" w:rsidR="00222D93" w:rsidRDefault="00222D93" w:rsidP="00222D93">
      <w:pPr>
        <w:rPr>
          <w:rFonts w:hint="eastAsia"/>
        </w:rPr>
      </w:pPr>
      <w:r w:rsidRPr="00511A36">
        <w:t>Rising sea levels will impact both the natural and man-made coastal environments. It could result in the disappearance of a large portion of WestCOG’s tidal wetlands and the conversion of upstream wetlands to saltwater marshland. Beachfront communities will see increased erosion of sand and dune structures, potentially leading to more extreme and frequent flooding. Dikes and sea walls currently in place could rapidly lose effectiveness, increasing the frequency and extent of flooding in coastal areas.</w:t>
      </w:r>
    </w:p>
    <w:p w14:paraId="776246FC" w14:textId="6F3757B1" w:rsidR="00222D93" w:rsidRDefault="00222D93" w:rsidP="00280000">
      <w:pPr>
        <w:rPr>
          <w:rFonts w:hint="eastAsia"/>
        </w:rPr>
      </w:pPr>
      <w:r w:rsidRPr="00511A36">
        <w:t xml:space="preserve">As sea levels rise, drainage systems will become less effective, potentially leading to greater flooding from even moderate rainfall events. Future storm events, especially those accompanied by strong storm surges, will pose an even greater threat to coastal and low-lying communities. Storm surges from hurricanes and nor’easters will reach </w:t>
      </w:r>
      <w:r w:rsidR="007923C9" w:rsidRPr="00511A36">
        <w:t>f</w:t>
      </w:r>
      <w:r w:rsidR="007923C9">
        <w:t>a</w:t>
      </w:r>
      <w:r w:rsidR="007923C9" w:rsidRPr="00511A36">
        <w:t xml:space="preserve">rther </w:t>
      </w:r>
      <w:r w:rsidRPr="00511A36">
        <w:t xml:space="preserve">inland, </w:t>
      </w:r>
      <w:r w:rsidR="007923C9">
        <w:t>affect</w:t>
      </w:r>
      <w:r w:rsidR="007923C9" w:rsidRPr="00511A36">
        <w:t xml:space="preserve">ing </w:t>
      </w:r>
      <w:r w:rsidRPr="00511A36">
        <w:t xml:space="preserve">a </w:t>
      </w:r>
      <w:r w:rsidR="007923C9">
        <w:t>larg</w:t>
      </w:r>
      <w:r w:rsidR="007923C9" w:rsidRPr="00511A36">
        <w:t xml:space="preserve">er </w:t>
      </w:r>
      <w:r w:rsidRPr="00511A36">
        <w:t xml:space="preserve">portion of the region. </w:t>
      </w:r>
    </w:p>
    <w:p w14:paraId="5BD68A9B" w14:textId="77777777" w:rsidR="00B30890" w:rsidRPr="00843358" w:rsidRDefault="00B30890" w:rsidP="00B30890">
      <w:pPr>
        <w:pStyle w:val="Heading3"/>
        <w:rPr>
          <w:rFonts w:hint="eastAsia"/>
          <w:caps/>
        </w:rPr>
      </w:pPr>
      <w:bookmarkStart w:id="50" w:name="_Toc233228223"/>
      <w:r w:rsidRPr="00843358">
        <w:t>Storm Surge</w:t>
      </w:r>
      <w:bookmarkEnd w:id="50"/>
    </w:p>
    <w:p w14:paraId="5B8B1650" w14:textId="15534E21" w:rsidR="00A4037A" w:rsidRDefault="00384CB2" w:rsidP="00A4037A">
      <w:pPr>
        <w:rPr>
          <w:rFonts w:hint="eastAsia"/>
        </w:rPr>
      </w:pPr>
      <w:r>
        <w:rPr>
          <w:noProof/>
        </w:rPr>
        <w:drawing>
          <wp:anchor distT="0" distB="0" distL="114300" distR="114300" simplePos="0" relativeHeight="251658246" behindDoc="1" locked="0" layoutInCell="1" allowOverlap="1" wp14:anchorId="282A74A6" wp14:editId="7DFF6701">
            <wp:simplePos x="0" y="0"/>
            <wp:positionH relativeFrom="column">
              <wp:posOffset>0</wp:posOffset>
            </wp:positionH>
            <wp:positionV relativeFrom="paragraph">
              <wp:posOffset>1124585</wp:posOffset>
            </wp:positionV>
            <wp:extent cx="5940425" cy="1972310"/>
            <wp:effectExtent l="0" t="0" r="3175" b="8890"/>
            <wp:wrapTight wrapText="bothSides">
              <wp:wrapPolygon edited="0">
                <wp:start x="0" y="0"/>
                <wp:lineTo x="0" y="21489"/>
                <wp:lineTo x="21542" y="21489"/>
                <wp:lineTo x="21542" y="0"/>
                <wp:lineTo x="0" y="0"/>
              </wp:wrapPolygon>
            </wp:wrapTight>
            <wp:docPr id="88295080" name="Picture 88295080" descr="A graphic on &quot;Understanding Storm Surge Flooding.&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ic on &quot;Understanding Storm Surge Flooding.&quot; "/>
                    <pic:cNvPicPr>
                      <a:picLocks noChangeAspect="1" noChangeArrowheads="1"/>
                    </pic:cNvPicPr>
                  </pic:nvPicPr>
                  <pic:blipFill rotWithShape="1">
                    <a:blip r:embed="rId31">
                      <a:extLst>
                        <a:ext uri="{28A0092B-C50C-407E-A947-70E740481C1C}">
                          <a14:useLocalDpi xmlns:a14="http://schemas.microsoft.com/office/drawing/2010/main" val="0"/>
                        </a:ext>
                      </a:extLst>
                    </a:blip>
                    <a:srcRect t="1596" b="57010"/>
                    <a:stretch>
                      <a:fillRect/>
                    </a:stretch>
                  </pic:blipFill>
                  <pic:spPr bwMode="auto">
                    <a:xfrm>
                      <a:off x="0" y="0"/>
                      <a:ext cx="5940425" cy="19723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0890" w:rsidRPr="00E747FD">
        <w:t>Storm surge</w:t>
      </w:r>
      <w:r w:rsidR="00B30890" w:rsidRPr="005D581F">
        <w:t> is an abnormal water level rise generated by a storm over and above the predicted astronomical </w:t>
      </w:r>
      <w:r w:rsidR="00B30890" w:rsidRPr="00E747FD">
        <w:t>tide</w:t>
      </w:r>
      <w:r w:rsidR="00B30890">
        <w:t xml:space="preserve">. </w:t>
      </w:r>
      <w:r w:rsidR="00B30890" w:rsidRPr="002508EE">
        <w:t xml:space="preserve">Coastal storm surge occurs when winds from hurricanes and tropical storms push ocean waters inland. The height and extent of storm surge depend on factors </w:t>
      </w:r>
      <w:r w:rsidR="009C67B4">
        <w:t>such as</w:t>
      </w:r>
      <w:r w:rsidR="009C67B4" w:rsidRPr="002508EE">
        <w:t xml:space="preserve"> </w:t>
      </w:r>
      <w:r w:rsidR="00B30890" w:rsidRPr="002508EE">
        <w:t>wind speed</w:t>
      </w:r>
      <w:r w:rsidR="00A76D25">
        <w:t>,</w:t>
      </w:r>
      <w:r w:rsidR="00B30890" w:rsidRPr="002508EE">
        <w:t xml:space="preserve"> atmospheric pressure, </w:t>
      </w:r>
      <w:r w:rsidR="00A76D25">
        <w:t>and</w:t>
      </w:r>
      <w:r w:rsidR="00B30890" w:rsidRPr="002508EE">
        <w:t xml:space="preserve"> the shape of the coastline.</w:t>
      </w:r>
      <w:r w:rsidR="00B30890">
        <w:t xml:space="preserve"> </w:t>
      </w:r>
    </w:p>
    <w:p w14:paraId="01F85C72" w14:textId="37E8FFF6" w:rsidR="00480A16" w:rsidRDefault="00A4037A" w:rsidP="00A4037A">
      <w:pPr>
        <w:pStyle w:val="Caption"/>
        <w:rPr>
          <w:rFonts w:hint="eastAsia"/>
        </w:rPr>
      </w:pPr>
      <w:bookmarkStart w:id="51" w:name="_Toc233228244"/>
      <w:r w:rsidRPr="00162924">
        <w:rPr>
          <w:rFonts w:hint="eastAsia"/>
          <w:b/>
          <w:bCs/>
        </w:rPr>
        <w:t xml:space="preserve">Figure </w:t>
      </w:r>
      <w:r w:rsidR="00E65936" w:rsidRPr="00162924">
        <w:rPr>
          <w:b/>
          <w:bCs/>
        </w:rPr>
        <w:fldChar w:fldCharType="begin"/>
      </w:r>
      <w:r w:rsidR="00E65936" w:rsidRPr="00162924">
        <w:rPr>
          <w:rFonts w:hint="eastAsia"/>
          <w:b/>
          <w:bCs/>
        </w:rPr>
        <w:instrText xml:space="preserve"> SEQ Figure \* ARABIC </w:instrText>
      </w:r>
      <w:r w:rsidR="00E65936" w:rsidRPr="00162924">
        <w:rPr>
          <w:b/>
          <w:bCs/>
        </w:rPr>
        <w:fldChar w:fldCharType="separate"/>
      </w:r>
      <w:r w:rsidR="00CD3F8E">
        <w:rPr>
          <w:b/>
          <w:bCs/>
          <w:noProof/>
        </w:rPr>
        <w:t>5</w:t>
      </w:r>
      <w:r w:rsidR="00E65936" w:rsidRPr="00162924">
        <w:rPr>
          <w:b/>
          <w:bCs/>
        </w:rPr>
        <w:fldChar w:fldCharType="end"/>
      </w:r>
      <w:r w:rsidR="00E65936" w:rsidRPr="00162924">
        <w:rPr>
          <w:rFonts w:hint="eastAsia"/>
          <w:b/>
          <w:bCs/>
        </w:rPr>
        <w:t>.</w:t>
      </w:r>
      <w:r>
        <w:t xml:space="preserve"> </w:t>
      </w:r>
      <w:r w:rsidRPr="005B6147">
        <w:t>Storm Surge Flooding Diagram (NOAA)</w:t>
      </w:r>
      <w:r w:rsidR="003B6369">
        <w:rPr>
          <w:rStyle w:val="FootnoteReference"/>
        </w:rPr>
        <w:footnoteReference w:id="14"/>
      </w:r>
      <w:bookmarkEnd w:id="51"/>
    </w:p>
    <w:p w14:paraId="4C53E99B" w14:textId="10F188D8" w:rsidR="00B30890" w:rsidRPr="00511A36" w:rsidRDefault="00B30890" w:rsidP="00B30890">
      <w:pPr>
        <w:rPr>
          <w:rFonts w:hint="eastAsia"/>
        </w:rPr>
      </w:pPr>
      <w:r>
        <w:t xml:space="preserve">CIRCA developed storm surge layers for the return periods of </w:t>
      </w:r>
      <w:r w:rsidRPr="00511A36">
        <w:t>10-, 30-, 100-, and 500-year</w:t>
      </w:r>
      <w:r>
        <w:t>s</w:t>
      </w:r>
      <w:r w:rsidRPr="00511A36">
        <w:t xml:space="preserve"> or 10%, 3.33%, 1%, and 0.2% </w:t>
      </w:r>
      <w:r>
        <w:t>annual chance of occurrence</w:t>
      </w:r>
      <w:r w:rsidRPr="00511A36">
        <w:t xml:space="preserve">, respectively. </w:t>
      </w:r>
      <w:r>
        <w:t xml:space="preserve">These </w:t>
      </w:r>
      <w:r w:rsidRPr="00511A36">
        <w:t xml:space="preserve">modeled storm surge water levels used </w:t>
      </w:r>
      <w:r>
        <w:t xml:space="preserve">a </w:t>
      </w:r>
      <w:r w:rsidRPr="00511A36">
        <w:t>coupled coastal circulation and wave model (FVCOM-SWAVE,</w:t>
      </w:r>
      <w:r>
        <w:t xml:space="preserve"> a finite-volume coastal ocean model with the Simulating Wave Nearshore wave model</w:t>
      </w:r>
      <w:r w:rsidRPr="00511A36">
        <w:t xml:space="preserve">) to hindcast the 44 highest storms between 1950 and 2018. This model is </w:t>
      </w:r>
      <w:proofErr w:type="gramStart"/>
      <w:r w:rsidRPr="00511A36">
        <w:t>calibrated</w:t>
      </w:r>
      <w:proofErr w:type="gramEnd"/>
      <w:r w:rsidRPr="00511A36">
        <w:t xml:space="preserve"> for the Long Island Sound to capture the complexity of Connecticut’s geology and landscapes and improve accuracy for effective flood risk design. The floodwater elevations for different return periods were calculated empirically using a Poisson-GPD fit. The anticipated SLR of 20 inches by 2050 was also applied to these different flood events using 2016 </w:t>
      </w:r>
      <w:r w:rsidR="001C6BA9">
        <w:t>Light Detection and Ranging (</w:t>
      </w:r>
      <w:r w:rsidRPr="00511A36">
        <w:t>LiDAR</w:t>
      </w:r>
      <w:r w:rsidR="001C6BA9">
        <w:t>)</w:t>
      </w:r>
      <w:r w:rsidRPr="00511A36">
        <w:t xml:space="preserve"> topographic data</w:t>
      </w:r>
      <w:r>
        <w:t>. The vertical datum for these storm surge layers is NAVD88</w:t>
      </w:r>
      <w:r w:rsidRPr="00511A36">
        <w:t>.</w:t>
      </w:r>
      <w:r w:rsidRPr="00511A36">
        <w:rPr>
          <w:rStyle w:val="FootnoteReference"/>
        </w:rPr>
        <w:footnoteReference w:id="15"/>
      </w:r>
    </w:p>
    <w:p w14:paraId="0D6551F1" w14:textId="00B04E26" w:rsidR="00B30890" w:rsidRPr="00511A36" w:rsidRDefault="00B30890" w:rsidP="00B30890">
      <w:pPr>
        <w:rPr>
          <w:rFonts w:hint="eastAsia"/>
        </w:rPr>
      </w:pPr>
      <w:r w:rsidRPr="00511A36">
        <w:t xml:space="preserve">It is important to note that the 10-year return period + 20 inches of SLR is generally equivalent to the 100-year return period with no SLR, and thus, CIRCA provides no additional layer for the 10-year return period + 20 inches of SLR. This </w:t>
      </w:r>
      <w:r w:rsidR="00A76D25">
        <w:t>provides insight into</w:t>
      </w:r>
      <w:r w:rsidRPr="00511A36">
        <w:t xml:space="preserve"> what future conditions may look like. By 2050, with 20 inches of SLR, the 10-year storm event will be equal to a present-day 100-year storm. CIRCA also determined that an increase of 12 inches at the New London station mentioned above could make a 10-year event a 3.7-year event, and a rise of 24 inches could make the 10-year event a 1.25-year event. </w:t>
      </w:r>
    </w:p>
    <w:p w14:paraId="3DCBDEAE" w14:textId="4F1DA8C7" w:rsidR="00B30890" w:rsidRPr="00511A36" w:rsidRDefault="00D70BF5" w:rsidP="00280000">
      <w:pPr>
        <w:rPr>
          <w:rFonts w:hint="eastAsia"/>
        </w:rPr>
      </w:pPr>
      <w:r>
        <w:t xml:space="preserve">Additional storm surge modeling for </w:t>
      </w:r>
      <w:r w:rsidR="0030039B">
        <w:t xml:space="preserve">hurricanes is available </w:t>
      </w:r>
      <w:r w:rsidR="00820CF5">
        <w:t xml:space="preserve">from NOAA. </w:t>
      </w:r>
      <w:r w:rsidR="00B30890" w:rsidRPr="002508EE">
        <w:t xml:space="preserve">SLOSH storm surge modeling can estimate the “near worst-case scenario of flooding for each hurricane category.” </w:t>
      </w:r>
      <w:r w:rsidR="00B30890">
        <w:t>The</w:t>
      </w:r>
      <w:r w:rsidR="00B30890" w:rsidRPr="002508EE">
        <w:t xml:space="preserve"> inundation extent of a category 1 through category 4 storm along the coast of WestCOG</w:t>
      </w:r>
      <w:r w:rsidR="00B30890">
        <w:t xml:space="preserve"> was mapped and can be found in </w:t>
      </w:r>
      <w:r w:rsidR="00A4037A" w:rsidRPr="00843358">
        <w:fldChar w:fldCharType="begin" w:fldLock="1"/>
      </w:r>
      <w:r w:rsidR="00A4037A" w:rsidRPr="00843358">
        <w:instrText xml:space="preserve"> REF _Ref228512228 \h </w:instrText>
      </w:r>
      <w:r w:rsidR="005E43AE" w:rsidRPr="00843358">
        <w:instrText xml:space="preserve"> \* MERGEFORMAT </w:instrText>
      </w:r>
      <w:r w:rsidR="00A4037A" w:rsidRPr="00843358">
        <w:fldChar w:fldCharType="separate"/>
      </w:r>
      <w:r w:rsidR="00AB64CB" w:rsidRPr="002508EE">
        <w:rPr>
          <w:rFonts w:eastAsia="Arial"/>
        </w:rPr>
        <w:t>Appendix A: Maps</w:t>
      </w:r>
      <w:r w:rsidR="00A4037A" w:rsidRPr="00843358">
        <w:fldChar w:fldCharType="end"/>
      </w:r>
      <w:r w:rsidR="00344DC5" w:rsidRPr="00843358">
        <w:t xml:space="preserve">. </w:t>
      </w:r>
    </w:p>
    <w:p w14:paraId="2DE119FD" w14:textId="77777777" w:rsidR="00137FD7" w:rsidRPr="00843358" w:rsidRDefault="00137FD7" w:rsidP="00137FD7">
      <w:pPr>
        <w:pStyle w:val="Heading3"/>
        <w:rPr>
          <w:rFonts w:hint="eastAsia"/>
          <w:caps/>
        </w:rPr>
      </w:pPr>
      <w:bookmarkStart w:id="52" w:name="_Ref228767657"/>
      <w:bookmarkStart w:id="53" w:name="_Toc233228224"/>
      <w:r w:rsidRPr="00843358">
        <w:t>Saltwater Intrusion</w:t>
      </w:r>
      <w:bookmarkEnd w:id="52"/>
      <w:bookmarkEnd w:id="53"/>
    </w:p>
    <w:p w14:paraId="2CD2FB50" w14:textId="07B1B22C" w:rsidR="00747841" w:rsidRDefault="008D62A9" w:rsidP="00137FD7">
      <w:pPr>
        <w:rPr>
          <w:rFonts w:hint="eastAsia"/>
        </w:rPr>
      </w:pPr>
      <w:r w:rsidRPr="008D62A9">
        <w:t xml:space="preserve">Saltwater intrusion is the landward and upward movement of saline water into freshwater aquifers and onto coastal land. Driven by rising sea levels and intense storm surges, this hazard </w:t>
      </w:r>
      <w:r>
        <w:t xml:space="preserve">can </w:t>
      </w:r>
      <w:r w:rsidRPr="008D62A9">
        <w:t>permanently alt</w:t>
      </w:r>
      <w:r>
        <w:t xml:space="preserve">er Connecticut’s </w:t>
      </w:r>
      <w:r w:rsidRPr="008D62A9">
        <w:t>infrastructure and ecosystems</w:t>
      </w:r>
      <w:r>
        <w:t xml:space="preserve">. </w:t>
      </w:r>
      <w:r w:rsidR="00747841">
        <w:t xml:space="preserve">Major impacts associated with </w:t>
      </w:r>
      <w:r w:rsidR="003B69C8">
        <w:t>saltwater</w:t>
      </w:r>
      <w:r w:rsidR="00747841">
        <w:t xml:space="preserve"> intrusion include drinking water contamination, infrastructure corrosion, foundation damage, marsh migration and </w:t>
      </w:r>
      <w:r w:rsidR="006B088D">
        <w:t xml:space="preserve">habitat loss, and </w:t>
      </w:r>
      <w:r w:rsidR="003B69C8">
        <w:t>agricultural</w:t>
      </w:r>
      <w:r w:rsidR="006B088D">
        <w:t xml:space="preserve"> loss.</w:t>
      </w:r>
      <w:r w:rsidR="003B69C8">
        <w:t xml:space="preserve"> </w:t>
      </w:r>
      <w:r w:rsidR="009446D2">
        <w:t xml:space="preserve">Saltwater intrusion also exacerbates the impacts of </w:t>
      </w:r>
      <w:r w:rsidR="00747841" w:rsidRPr="00747841">
        <w:t>drought,</w:t>
      </w:r>
      <w:r w:rsidR="009446D2">
        <w:t xml:space="preserve"> as</w:t>
      </w:r>
      <w:r w:rsidR="00747841" w:rsidRPr="00747841">
        <w:t xml:space="preserve"> the lack of freshwater flow </w:t>
      </w:r>
      <w:r w:rsidR="006A305D">
        <w:t>allows</w:t>
      </w:r>
      <w:r w:rsidR="00747841" w:rsidRPr="00747841">
        <w:t xml:space="preserve"> the salt </w:t>
      </w:r>
      <w:r w:rsidR="00E245A2">
        <w:t>line</w:t>
      </w:r>
      <w:r w:rsidR="00747841" w:rsidRPr="00747841">
        <w:t xml:space="preserve"> to </w:t>
      </w:r>
      <w:r w:rsidR="00554692">
        <w:t xml:space="preserve">move </w:t>
      </w:r>
      <w:r w:rsidR="00E245A2">
        <w:t>f</w:t>
      </w:r>
      <w:r w:rsidR="00554692">
        <w:t>a</w:t>
      </w:r>
      <w:r w:rsidR="00E245A2">
        <w:t>rther</w:t>
      </w:r>
      <w:r w:rsidR="00747841" w:rsidRPr="00747841">
        <w:t xml:space="preserve"> inland, widening areas exposed to high salinity</w:t>
      </w:r>
      <w:r w:rsidR="00FB0E39">
        <w:t xml:space="preserve"> and </w:t>
      </w:r>
      <w:r w:rsidR="001E7E9E">
        <w:t xml:space="preserve">ultimately </w:t>
      </w:r>
      <w:r w:rsidR="00E245A2">
        <w:t>leading to greater habitat loss.</w:t>
      </w:r>
    </w:p>
    <w:p w14:paraId="385F9D5E" w14:textId="51AF33E0" w:rsidR="00841E05" w:rsidRDefault="00841E05" w:rsidP="00137FD7">
      <w:pPr>
        <w:rPr>
          <w:rFonts w:hint="eastAsia"/>
        </w:rPr>
      </w:pPr>
      <w:r>
        <w:t xml:space="preserve">CIRCA has developed a saltwater intrusion vulnerability layer within </w:t>
      </w:r>
      <w:r w:rsidR="0020363F">
        <w:t>its</w:t>
      </w:r>
      <w:r>
        <w:t xml:space="preserve"> Coastal Vulnerability Viewer for planning purposes</w:t>
      </w:r>
      <w:r w:rsidR="00934B68">
        <w:t>.</w:t>
      </w:r>
      <w:r w:rsidR="00E73BBA">
        <w:rPr>
          <w:rStyle w:val="FootnoteReference"/>
        </w:rPr>
        <w:footnoteReference w:id="16"/>
      </w:r>
    </w:p>
    <w:p w14:paraId="1431D8DA" w14:textId="5D902B5A" w:rsidR="00E469AF" w:rsidRPr="00843358" w:rsidRDefault="00E469AF" w:rsidP="00E469AF">
      <w:pPr>
        <w:pStyle w:val="Heading3"/>
        <w:rPr>
          <w:rFonts w:hint="eastAsia"/>
          <w:caps/>
        </w:rPr>
      </w:pPr>
      <w:bookmarkStart w:id="54" w:name="_Toc233228225"/>
      <w:r w:rsidRPr="00843358">
        <w:t>Key Planning Information for Coastal Flooding</w:t>
      </w:r>
      <w:bookmarkEnd w:id="54"/>
    </w:p>
    <w:p w14:paraId="1A4CFC2A" w14:textId="0F26E918" w:rsidR="00DB33CF" w:rsidRPr="00511A36" w:rsidRDefault="00DB33CF" w:rsidP="00DB33CF">
      <w:pPr>
        <w:rPr>
          <w:rFonts w:hint="eastAsia"/>
        </w:rPr>
      </w:pPr>
      <w:r w:rsidRPr="00511A36">
        <w:t xml:space="preserve">The municipalities of Greenwich, Stamford, Darien, Norwalk, and Westport are most susceptible to coastal hazards, including tropical cyclones, tidal flooding, storm surge, and sea-level rise. CIRCA has developed tidal MHHW layers, 10-, 30-, 100-, and 500-year recurrence interval storm surge layers, and SLR scenarios with </w:t>
      </w:r>
      <w:r w:rsidR="00EB52A7">
        <w:t xml:space="preserve">a </w:t>
      </w:r>
      <w:r w:rsidRPr="00511A36">
        <w:t xml:space="preserve">projected SLR of 20 inches by mid-century (2050), which can be used for planning considerations. Additionally, NOAA SLOSH simulations show the inundation extents of tropical cyclones ranging from category 1 to </w:t>
      </w:r>
      <w:proofErr w:type="gramStart"/>
      <w:r w:rsidRPr="00511A36">
        <w:t xml:space="preserve">4, </w:t>
      </w:r>
      <w:r w:rsidR="00BA1AE1">
        <w:t>and</w:t>
      </w:r>
      <w:proofErr w:type="gramEnd"/>
      <w:r w:rsidR="00BA1AE1" w:rsidRPr="00511A36">
        <w:t xml:space="preserve"> </w:t>
      </w:r>
      <w:r w:rsidRPr="00511A36">
        <w:t xml:space="preserve">can be used for planning considerations. </w:t>
      </w:r>
    </w:p>
    <w:p w14:paraId="3A6C334B" w14:textId="422D2452" w:rsidR="00336B28" w:rsidRPr="00336B28" w:rsidRDefault="00336B28" w:rsidP="00734799">
      <w:pPr>
        <w:rPr>
          <w:rFonts w:hint="eastAsia"/>
        </w:rPr>
      </w:pPr>
      <w:r>
        <w:t xml:space="preserve">The following data and resources should be used when choosing coastal flooding management design baselines: </w:t>
      </w:r>
    </w:p>
    <w:p w14:paraId="1350A91D" w14:textId="08AEF68D" w:rsidR="003336A5" w:rsidRDefault="00E1425C" w:rsidP="00162924">
      <w:pPr>
        <w:pStyle w:val="ListParagraph"/>
        <w:numPr>
          <w:ilvl w:val="0"/>
          <w:numId w:val="90"/>
        </w:numPr>
        <w:rPr>
          <w:rFonts w:hint="eastAsia"/>
        </w:rPr>
      </w:pPr>
      <w:r>
        <w:t xml:space="preserve">A </w:t>
      </w:r>
      <w:r w:rsidRPr="00511A36">
        <w:t xml:space="preserve">“planning threshold” of 0.5-meter (1.64 feet or nearly 20 inches) </w:t>
      </w:r>
      <w:r w:rsidR="003336A5">
        <w:t xml:space="preserve">SLR </w:t>
      </w:r>
      <w:r w:rsidRPr="00511A36">
        <w:t xml:space="preserve">expected </w:t>
      </w:r>
      <w:r w:rsidR="003336A5">
        <w:t xml:space="preserve">in the mid-term </w:t>
      </w:r>
      <w:r w:rsidRPr="00511A36">
        <w:t>by 2050</w:t>
      </w:r>
    </w:p>
    <w:p w14:paraId="41A43297" w14:textId="2CCAB022" w:rsidR="00E1425C" w:rsidRDefault="003336A5" w:rsidP="00162924">
      <w:pPr>
        <w:pStyle w:val="ListParagraph"/>
        <w:numPr>
          <w:ilvl w:val="0"/>
          <w:numId w:val="90"/>
        </w:numPr>
        <w:rPr>
          <w:rFonts w:hint="eastAsia"/>
        </w:rPr>
      </w:pPr>
      <w:r>
        <w:t xml:space="preserve">A </w:t>
      </w:r>
      <w:r w:rsidR="00E1425C" w:rsidRPr="00511A36">
        <w:t xml:space="preserve">“caution threshold” of 1.0 meters (3.28 feet) in SLR expected </w:t>
      </w:r>
      <w:r w:rsidR="00024708">
        <w:t>by the end-of-century by</w:t>
      </w:r>
      <w:r w:rsidR="00E1425C" w:rsidRPr="00511A36">
        <w:t xml:space="preserve"> 2060-2090.</w:t>
      </w:r>
    </w:p>
    <w:p w14:paraId="54F66A73" w14:textId="77777777" w:rsidR="000D71BA" w:rsidRDefault="000D71BA" w:rsidP="00162924">
      <w:pPr>
        <w:pStyle w:val="ListParagraph"/>
        <w:numPr>
          <w:ilvl w:val="0"/>
          <w:numId w:val="90"/>
        </w:numPr>
        <w:rPr>
          <w:rFonts w:hint="eastAsia"/>
        </w:rPr>
      </w:pPr>
      <w:r>
        <w:t xml:space="preserve">Available data layers developed by CIRCA to be used for coastal flooding planning include: </w:t>
      </w:r>
    </w:p>
    <w:p w14:paraId="0C5E91B3" w14:textId="77777777" w:rsidR="000D71BA" w:rsidRDefault="000D71BA" w:rsidP="00F167D7">
      <w:pPr>
        <w:pStyle w:val="ListParagraph"/>
        <w:numPr>
          <w:ilvl w:val="1"/>
          <w:numId w:val="92"/>
        </w:numPr>
        <w:ind w:left="1620"/>
        <w:rPr>
          <w:rFonts w:hint="eastAsia"/>
        </w:rPr>
      </w:pPr>
      <w:r>
        <w:t>MHHW</w:t>
      </w:r>
    </w:p>
    <w:p w14:paraId="2308444A" w14:textId="77777777" w:rsidR="000D71BA" w:rsidRDefault="000D71BA" w:rsidP="00F167D7">
      <w:pPr>
        <w:pStyle w:val="ListParagraph"/>
        <w:numPr>
          <w:ilvl w:val="1"/>
          <w:numId w:val="92"/>
        </w:numPr>
        <w:ind w:left="1620"/>
        <w:rPr>
          <w:rFonts w:hint="eastAsia"/>
        </w:rPr>
      </w:pPr>
      <w:r>
        <w:t>MHHW + 1ft</w:t>
      </w:r>
    </w:p>
    <w:p w14:paraId="0F309092" w14:textId="77777777" w:rsidR="000D71BA" w:rsidRDefault="000D71BA" w:rsidP="00F167D7">
      <w:pPr>
        <w:pStyle w:val="ListParagraph"/>
        <w:numPr>
          <w:ilvl w:val="1"/>
          <w:numId w:val="92"/>
        </w:numPr>
        <w:ind w:left="1620"/>
        <w:rPr>
          <w:rFonts w:hint="eastAsia"/>
        </w:rPr>
      </w:pPr>
      <w:r>
        <w:t>MHHW + 20 inches of SLR</w:t>
      </w:r>
    </w:p>
    <w:p w14:paraId="5526E1AB" w14:textId="77777777" w:rsidR="000D71BA" w:rsidRDefault="000D71BA" w:rsidP="00F167D7">
      <w:pPr>
        <w:pStyle w:val="ListParagraph"/>
        <w:numPr>
          <w:ilvl w:val="1"/>
          <w:numId w:val="92"/>
        </w:numPr>
        <w:ind w:left="1620"/>
        <w:rPr>
          <w:rFonts w:hint="eastAsia"/>
        </w:rPr>
      </w:pPr>
      <w:r>
        <w:t xml:space="preserve">10-year return period </w:t>
      </w:r>
    </w:p>
    <w:p w14:paraId="4FAC328A" w14:textId="77777777" w:rsidR="000D71BA" w:rsidRDefault="000D71BA" w:rsidP="00F167D7">
      <w:pPr>
        <w:pStyle w:val="ListParagraph"/>
        <w:numPr>
          <w:ilvl w:val="1"/>
          <w:numId w:val="92"/>
        </w:numPr>
        <w:ind w:left="1620"/>
        <w:rPr>
          <w:rFonts w:hint="eastAsia"/>
        </w:rPr>
      </w:pPr>
      <w:r>
        <w:t>10-year return period + 20 inches of SLR</w:t>
      </w:r>
    </w:p>
    <w:p w14:paraId="1C1BB4AC" w14:textId="77777777" w:rsidR="000D71BA" w:rsidRDefault="000D71BA" w:rsidP="00F167D7">
      <w:pPr>
        <w:pStyle w:val="ListParagraph"/>
        <w:numPr>
          <w:ilvl w:val="1"/>
          <w:numId w:val="92"/>
        </w:numPr>
        <w:ind w:left="1620"/>
        <w:rPr>
          <w:rFonts w:hint="eastAsia"/>
        </w:rPr>
      </w:pPr>
      <w:r>
        <w:t xml:space="preserve">30-year return period </w:t>
      </w:r>
    </w:p>
    <w:p w14:paraId="6DEEEA78" w14:textId="77777777" w:rsidR="000D71BA" w:rsidRDefault="000D71BA" w:rsidP="00F167D7">
      <w:pPr>
        <w:pStyle w:val="ListParagraph"/>
        <w:numPr>
          <w:ilvl w:val="1"/>
          <w:numId w:val="92"/>
        </w:numPr>
        <w:ind w:left="1620"/>
        <w:rPr>
          <w:rFonts w:hint="eastAsia"/>
        </w:rPr>
      </w:pPr>
      <w:r>
        <w:t>30-year return period + 20 inches of SLR</w:t>
      </w:r>
    </w:p>
    <w:p w14:paraId="01A60272" w14:textId="77777777" w:rsidR="000D71BA" w:rsidRDefault="000D71BA" w:rsidP="00F167D7">
      <w:pPr>
        <w:pStyle w:val="ListParagraph"/>
        <w:numPr>
          <w:ilvl w:val="1"/>
          <w:numId w:val="92"/>
        </w:numPr>
        <w:ind w:left="1620"/>
        <w:rPr>
          <w:rFonts w:hint="eastAsia"/>
        </w:rPr>
      </w:pPr>
      <w:r>
        <w:t xml:space="preserve">100-year return period </w:t>
      </w:r>
    </w:p>
    <w:p w14:paraId="58B884D6" w14:textId="77777777" w:rsidR="000D71BA" w:rsidRDefault="000D71BA" w:rsidP="00F167D7">
      <w:pPr>
        <w:pStyle w:val="ListParagraph"/>
        <w:numPr>
          <w:ilvl w:val="1"/>
          <w:numId w:val="92"/>
        </w:numPr>
        <w:ind w:left="1620"/>
        <w:rPr>
          <w:rFonts w:hint="eastAsia"/>
        </w:rPr>
      </w:pPr>
      <w:r>
        <w:t>100-year return period + 20 inches of SLR</w:t>
      </w:r>
    </w:p>
    <w:p w14:paraId="39CCF324" w14:textId="77777777" w:rsidR="000D71BA" w:rsidRDefault="000D71BA" w:rsidP="00F167D7">
      <w:pPr>
        <w:pStyle w:val="ListParagraph"/>
        <w:numPr>
          <w:ilvl w:val="1"/>
          <w:numId w:val="92"/>
        </w:numPr>
        <w:ind w:left="1620"/>
        <w:rPr>
          <w:rFonts w:hint="eastAsia"/>
        </w:rPr>
      </w:pPr>
      <w:r>
        <w:t xml:space="preserve">500-year return period </w:t>
      </w:r>
    </w:p>
    <w:p w14:paraId="6422575D" w14:textId="6C34EFCC" w:rsidR="00336B28" w:rsidRDefault="000D71BA" w:rsidP="00F167D7">
      <w:pPr>
        <w:pStyle w:val="ListParagraph"/>
        <w:numPr>
          <w:ilvl w:val="1"/>
          <w:numId w:val="92"/>
        </w:numPr>
        <w:ind w:left="1620"/>
        <w:rPr>
          <w:rFonts w:hint="eastAsia"/>
        </w:rPr>
      </w:pPr>
      <w:r>
        <w:t>500-year return period + 20 inches of SLR</w:t>
      </w:r>
    </w:p>
    <w:p w14:paraId="58BFD57A" w14:textId="1911A735" w:rsidR="00840F05" w:rsidRPr="00DF3B70" w:rsidRDefault="00840F05" w:rsidP="00162924">
      <w:pPr>
        <w:pStyle w:val="ListParagraph"/>
        <w:numPr>
          <w:ilvl w:val="0"/>
          <w:numId w:val="90"/>
        </w:numPr>
        <w:rPr>
          <w:rFonts w:hint="eastAsia"/>
        </w:rPr>
      </w:pPr>
      <w:r w:rsidRPr="002508EE">
        <w:t xml:space="preserve">Category 1 through Category 4 NOAA </w:t>
      </w:r>
      <w:r w:rsidR="00684CF2">
        <w:t xml:space="preserve">SLOSH </w:t>
      </w:r>
      <w:r w:rsidRPr="002508EE">
        <w:t>scenario simulations</w:t>
      </w:r>
      <w:r w:rsidR="00BA1AE1">
        <w:t>,</w:t>
      </w:r>
      <w:r w:rsidRPr="002508EE">
        <w:t xml:space="preserve"> estimat</w:t>
      </w:r>
      <w:r w:rsidR="00336B28">
        <w:t>ing</w:t>
      </w:r>
      <w:r w:rsidRPr="002508EE">
        <w:t xml:space="preserve"> the “near worst-case scenario of flooding for each hurricane category.” </w:t>
      </w:r>
    </w:p>
    <w:p w14:paraId="6017D09A" w14:textId="1B7329E7" w:rsidR="00684CF2" w:rsidRPr="00DF3B70" w:rsidRDefault="00772842" w:rsidP="00162924">
      <w:pPr>
        <w:pStyle w:val="ListParagraph"/>
        <w:numPr>
          <w:ilvl w:val="0"/>
          <w:numId w:val="90"/>
        </w:numPr>
        <w:rPr>
          <w:rFonts w:hint="eastAsia"/>
        </w:rPr>
      </w:pPr>
      <w:r>
        <w:t>CIRCA’s Coastal Vulnerability Viewer</w:t>
      </w:r>
    </w:p>
    <w:p w14:paraId="22E87C7F" w14:textId="17AC954F" w:rsidR="00E1425C" w:rsidRPr="00DF3B70" w:rsidRDefault="00E1425C" w:rsidP="00734799">
      <w:pPr>
        <w:pStyle w:val="ListParagraph"/>
        <w:numPr>
          <w:ilvl w:val="0"/>
          <w:numId w:val="75"/>
        </w:numPr>
        <w:rPr>
          <w:rFonts w:hint="eastAsia"/>
        </w:rPr>
      </w:pPr>
      <w:r>
        <w:t>CIRCA’s Flood CCVI</w:t>
      </w:r>
    </w:p>
    <w:p w14:paraId="3EB0A469" w14:textId="41402BE0" w:rsidR="00E469AF" w:rsidRPr="00843358" w:rsidRDefault="00E469AF" w:rsidP="00E469AF">
      <w:pPr>
        <w:pStyle w:val="Heading3"/>
        <w:rPr>
          <w:rFonts w:hint="eastAsia"/>
          <w:caps/>
        </w:rPr>
      </w:pPr>
      <w:bookmarkStart w:id="55" w:name="_Toc233228226"/>
      <w:r w:rsidRPr="00843358">
        <w:t>Identified Best Practices Related to Coastal Flooding</w:t>
      </w:r>
      <w:bookmarkEnd w:id="55"/>
    </w:p>
    <w:p w14:paraId="03A498A6" w14:textId="2EC72F34" w:rsidR="00916C97" w:rsidRDefault="00BC7A7B" w:rsidP="00734799">
      <w:pPr>
        <w:rPr>
          <w:rFonts w:hint="eastAsia"/>
        </w:rPr>
      </w:pPr>
      <w:r>
        <w:t>Several policies can be improved by WestCOG municipalities to mitigate the impacts of coastal flooding, including</w:t>
      </w:r>
      <w:r w:rsidR="002E727C">
        <w:t>:</w:t>
      </w:r>
    </w:p>
    <w:p w14:paraId="709C1831" w14:textId="358DBEDC" w:rsidR="000E2F73" w:rsidRDefault="000E2F73" w:rsidP="00162924">
      <w:pPr>
        <w:pStyle w:val="ListParagraph"/>
        <w:numPr>
          <w:ilvl w:val="0"/>
          <w:numId w:val="89"/>
        </w:numPr>
        <w:rPr>
          <w:rFonts w:hint="eastAsia"/>
        </w:rPr>
      </w:pPr>
      <w:r>
        <w:rPr>
          <w:b/>
          <w:bCs/>
        </w:rPr>
        <w:t>Implementing</w:t>
      </w:r>
      <w:r w:rsidRPr="00D47071">
        <w:rPr>
          <w:b/>
          <w:bCs/>
        </w:rPr>
        <w:t xml:space="preserve"> Climate-Informed Zoning</w:t>
      </w:r>
      <w:r>
        <w:t xml:space="preserve">: Updated flood risk maps and associated hazard areas can better inform developers and landowners about suitable </w:t>
      </w:r>
      <w:r w:rsidR="00DB33CF">
        <w:t xml:space="preserve">and safe </w:t>
      </w:r>
      <w:r>
        <w:t xml:space="preserve">uses for impacted areas. </w:t>
      </w:r>
      <w:r w:rsidR="00AE3563">
        <w:t>Municipalities can encourage nature-based solutions in coastal areas such as beach/dune renourishment, wetland restoration, and living shorelines.</w:t>
      </w:r>
    </w:p>
    <w:p w14:paraId="2F590AFC" w14:textId="30BF3E8C" w:rsidR="000E2F73" w:rsidRDefault="000E2F73" w:rsidP="00162924">
      <w:pPr>
        <w:pStyle w:val="ListParagraph"/>
        <w:numPr>
          <w:ilvl w:val="0"/>
          <w:numId w:val="89"/>
        </w:numPr>
        <w:rPr>
          <w:rFonts w:hint="eastAsia"/>
        </w:rPr>
      </w:pPr>
      <w:r w:rsidRPr="00D47071">
        <w:rPr>
          <w:b/>
          <w:bCs/>
        </w:rPr>
        <w:t>Enforcing Higher Floodplain Management Standards</w:t>
      </w:r>
      <w:r>
        <w:t>: Higher standards</w:t>
      </w:r>
      <w:r w:rsidR="00BA1AE1">
        <w:t>,</w:t>
      </w:r>
      <w:r>
        <w:t xml:space="preserve"> including development restrictions</w:t>
      </w:r>
      <w:r w:rsidR="009F3E6B">
        <w:t xml:space="preserve"> and </w:t>
      </w:r>
      <w:r w:rsidR="009F3E6B" w:rsidRPr="00FC5DBB">
        <w:t>detailed evacuation plan</w:t>
      </w:r>
      <w:r w:rsidR="009F3E6B">
        <w:t xml:space="preserve"> requirement</w:t>
      </w:r>
      <w:r w:rsidR="009F3E6B" w:rsidRPr="00FC5DBB">
        <w:t>s</w:t>
      </w:r>
      <w:r>
        <w:t xml:space="preserve">, can be leveraged to better protect </w:t>
      </w:r>
      <w:r w:rsidR="009F3E6B">
        <w:t>people and property</w:t>
      </w:r>
      <w:r>
        <w:t xml:space="preserve"> from </w:t>
      </w:r>
      <w:r w:rsidR="007339BD">
        <w:t>coastal</w:t>
      </w:r>
      <w:r>
        <w:t xml:space="preserve"> flooding. </w:t>
      </w:r>
    </w:p>
    <w:p w14:paraId="060730B4" w14:textId="6C93BA42" w:rsidR="000E2F73" w:rsidRPr="00593783" w:rsidRDefault="000E2F73" w:rsidP="00162924">
      <w:pPr>
        <w:pStyle w:val="ListParagraph"/>
        <w:numPr>
          <w:ilvl w:val="0"/>
          <w:numId w:val="89"/>
        </w:numPr>
        <w:rPr>
          <w:rFonts w:hint="eastAsia"/>
        </w:rPr>
      </w:pPr>
      <w:r w:rsidRPr="00D47071">
        <w:rPr>
          <w:b/>
          <w:bCs/>
        </w:rPr>
        <w:t>Facilitating Voluntary Property Acquisitions</w:t>
      </w:r>
      <w:r>
        <w:t xml:space="preserve">: For properties with repeated or high </w:t>
      </w:r>
      <w:r w:rsidR="00093DB8">
        <w:t>coastal</w:t>
      </w:r>
      <w:r>
        <w:t xml:space="preserve"> flood risk, voluntary property acquisitions can be included in community plans and programs.</w:t>
      </w:r>
      <w:r w:rsidR="00093DB8">
        <w:t xml:space="preserve"> </w:t>
      </w:r>
    </w:p>
    <w:p w14:paraId="0E4566BA" w14:textId="108789C2" w:rsidR="009F3A72" w:rsidRPr="002508EE" w:rsidRDefault="009F3A72" w:rsidP="00734799">
      <w:pPr>
        <w:pStyle w:val="ListParagraph"/>
        <w:rPr>
          <w:rFonts w:hint="eastAsia"/>
        </w:rPr>
      </w:pPr>
    </w:p>
    <w:p w14:paraId="189354F7" w14:textId="77777777" w:rsidR="00EB3B0D" w:rsidRDefault="00EB3B0D">
      <w:pPr>
        <w:spacing w:line="259" w:lineRule="auto"/>
        <w:rPr>
          <w:rFonts w:asciiTheme="majorHAnsi" w:eastAsiaTheme="majorEastAsia" w:hAnsiTheme="majorHAnsi" w:cstheme="majorBidi" w:hint="eastAsia"/>
          <w:b/>
          <w:color w:val="4970B7" w:themeColor="accent3"/>
          <w:sz w:val="48"/>
          <w:szCs w:val="32"/>
        </w:rPr>
      </w:pPr>
      <w:bookmarkStart w:id="56" w:name="_Toc233228227"/>
      <w:r>
        <w:br w:type="page"/>
      </w:r>
    </w:p>
    <w:p w14:paraId="44D80A87" w14:textId="587195F9" w:rsidR="004D42B8" w:rsidRPr="00511A36" w:rsidRDefault="004D42B8" w:rsidP="00734799">
      <w:pPr>
        <w:pStyle w:val="Heading1"/>
        <w:rPr>
          <w:rFonts w:hint="eastAsia"/>
        </w:rPr>
      </w:pPr>
      <w:r w:rsidRPr="00511A36">
        <w:t>Extreme Heat</w:t>
      </w:r>
      <w:bookmarkEnd w:id="56"/>
    </w:p>
    <w:p w14:paraId="2F18AC52" w14:textId="7213B5BE" w:rsidR="004D42B8" w:rsidRPr="00511A36" w:rsidRDefault="004D42B8" w:rsidP="004D42B8">
      <w:pPr>
        <w:rPr>
          <w:rFonts w:hint="eastAsia"/>
        </w:rPr>
      </w:pPr>
      <w:r w:rsidRPr="00511A36">
        <w:t xml:space="preserve">Extreme heat, defined as high temperatures that persist over multiple days, </w:t>
      </w:r>
      <w:r w:rsidR="00595ECF" w:rsidRPr="00511A36">
        <w:t xml:space="preserve">is </w:t>
      </w:r>
      <w:r w:rsidR="00BA1AE1">
        <w:t>a</w:t>
      </w:r>
      <w:r w:rsidR="00595ECF" w:rsidRPr="00511A36">
        <w:t xml:space="preserve"> </w:t>
      </w:r>
      <w:r w:rsidR="00DA2713">
        <w:t>growing risk</w:t>
      </w:r>
      <w:r w:rsidR="00595ECF" w:rsidRPr="00511A36">
        <w:t xml:space="preserve"> </w:t>
      </w:r>
      <w:r w:rsidRPr="00511A36">
        <w:t xml:space="preserve">due to climate change and a growing public health and infrastructure concern across the northeastern United States. For regional contexts, extreme heat is significant not only for its direct impacts on vulnerable populations but for its cascading effects on energy demand, water resources, and the performance of natural and built systems already under stress from other climate-driven hazards. </w:t>
      </w:r>
      <w:r w:rsidR="0090647F" w:rsidRPr="0090647F">
        <w:t>Heat can worsen </w:t>
      </w:r>
      <w:hyperlink r:id="rId32" w:history="1">
        <w:r w:rsidR="0090647F" w:rsidRPr="00734799">
          <w:t>drought</w:t>
        </w:r>
      </w:hyperlink>
      <w:r w:rsidR="0090647F" w:rsidRPr="0090647F">
        <w:t> conditions, and hot, dry weather can, in turn, increase wildfire risk. </w:t>
      </w:r>
    </w:p>
    <w:p w14:paraId="60978002" w14:textId="0CE81477" w:rsidR="004D42B8" w:rsidRPr="00511A36" w:rsidRDefault="004D42B8" w:rsidP="004D42B8">
      <w:pPr>
        <w:rPr>
          <w:rFonts w:hint="eastAsia"/>
        </w:rPr>
      </w:pPr>
      <w:r w:rsidRPr="00511A36">
        <w:t xml:space="preserve">Heat islands are urbanized areas that experience higher temperatures than outlying areas. Impervious structures, such as buildings, roads, and other infrastructure, absorb and re-emit more of the sun’s heat than natural landscapes, such as forests and water bodies. </w:t>
      </w:r>
      <w:r w:rsidR="00A92E10" w:rsidRPr="00511A36">
        <w:t xml:space="preserve">In urban areas, where these structures are highly concentrated and greenery is limited, they </w:t>
      </w:r>
      <w:r w:rsidRPr="00511A36">
        <w:t>become “islands” of higher temperatures relative to outlying areas.</w:t>
      </w:r>
      <w:r w:rsidRPr="00511A36">
        <w:rPr>
          <w:rStyle w:val="FootnoteReference"/>
        </w:rPr>
        <w:footnoteReference w:id="17"/>
      </w:r>
      <w:r w:rsidRPr="00511A36">
        <w:t xml:space="preserve"> </w:t>
      </w:r>
    </w:p>
    <w:p w14:paraId="2F16ABBD" w14:textId="79301C54" w:rsidR="004D42B8" w:rsidRPr="00511A36" w:rsidRDefault="004D42B8" w:rsidP="004D42B8">
      <w:pPr>
        <w:rPr>
          <w:rFonts w:hint="eastAsia"/>
        </w:rPr>
      </w:pPr>
      <w:r w:rsidRPr="00511A36">
        <w:t>Numerous studies have linked extreme heat</w:t>
      </w:r>
      <w:r w:rsidR="00595ECF" w:rsidRPr="00511A36">
        <w:t xml:space="preserve"> and heat islands</w:t>
      </w:r>
      <w:r w:rsidRPr="00511A36">
        <w:t xml:space="preserve"> with illness and death among vulnerable populations such as older adults, very young children, and people with respiratory illnesses. Heat islands increase energy consumption and emissions by raising demand for cooling infrastructure. It is estimated that for each 1°C increase in temperature, energy demand rises by 0.5</w:t>
      </w:r>
      <w:r w:rsidR="00595ECF" w:rsidRPr="00511A36">
        <w:t>% to 5%, depending on the level of air conditioning penetration at the local level</w:t>
      </w:r>
      <w:r w:rsidRPr="00511A36">
        <w:t xml:space="preserve">. Peak electricity demand and the highest heat island intensity tend to </w:t>
      </w:r>
      <w:r w:rsidR="00A92E10" w:rsidRPr="00511A36">
        <w:t>coincide, often during</w:t>
      </w:r>
      <w:r w:rsidRPr="00511A36">
        <w:t xml:space="preserve"> hot summer afternoons. During extreme heat events, increased </w:t>
      </w:r>
      <w:r w:rsidR="00A93E6B">
        <w:t xml:space="preserve">demand for </w:t>
      </w:r>
      <w:r w:rsidRPr="00511A36">
        <w:t>air conditioning can overload energy systems.</w:t>
      </w:r>
      <w:r w:rsidRPr="00511A36">
        <w:rPr>
          <w:rStyle w:val="FootnoteReference"/>
        </w:rPr>
        <w:footnoteReference w:id="18"/>
      </w:r>
    </w:p>
    <w:p w14:paraId="13C7316D" w14:textId="4B360C1D" w:rsidR="004D42B8" w:rsidRPr="00511A36" w:rsidRDefault="004D42B8" w:rsidP="004D42B8">
      <w:pPr>
        <w:rPr>
          <w:rFonts w:hint="eastAsia"/>
        </w:rPr>
      </w:pPr>
      <w:r w:rsidRPr="00511A36">
        <w:t>Station observations with records beginning in 1895 have been averaged for Connecticut, showing statistically significant trends in annual (+0.3°F/decade) and seasonal temperatures</w:t>
      </w:r>
      <w:r w:rsidR="00A92E10" w:rsidRPr="00511A36">
        <w:t>,</w:t>
      </w:r>
      <w:r w:rsidRPr="00511A36">
        <w:t xml:space="preserve"> with the largest increase in winter (+0.4°F/decade). This approximately 120-year record </w:t>
      </w:r>
      <w:r w:rsidR="00A92E10" w:rsidRPr="00511A36">
        <w:t>shows that the annual average temperature is currently near 50°F, up</w:t>
      </w:r>
      <w:r w:rsidRPr="00511A36">
        <w:t xml:space="preserve"> from 47°F at the start of the 20th century. Winter temperatures averaged nearly 26°F at that time, well below freezing, and now </w:t>
      </w:r>
      <w:r w:rsidR="000914D9">
        <w:t xml:space="preserve">average </w:t>
      </w:r>
      <w:r w:rsidRPr="00511A36">
        <w:t>almost 30°F.</w:t>
      </w:r>
    </w:p>
    <w:p w14:paraId="5BBFEC2D" w14:textId="65F7EBB5" w:rsidR="004D42B8" w:rsidRPr="00511A36" w:rsidRDefault="004D42B8" w:rsidP="004D42B8">
      <w:pPr>
        <w:rPr>
          <w:rFonts w:hint="eastAsia"/>
        </w:rPr>
      </w:pPr>
      <w:r w:rsidRPr="00511A36">
        <w:t>Downscaled multi-model projections (2010-2100) indicate significant</w:t>
      </w:r>
      <w:r w:rsidR="00EB3B0D">
        <w:t xml:space="preserve">, </w:t>
      </w:r>
      <w:r w:rsidR="00EB3B0D" w:rsidRPr="00511A36">
        <w:t>unabated</w:t>
      </w:r>
      <w:r w:rsidRPr="00511A36">
        <w:t xml:space="preserve"> increases in annual and seasonal temperatures throughout the 21st century. According to the CTPCSA Report, by 2050, in a high CO</w:t>
      </w:r>
      <w:r w:rsidRPr="00511A36">
        <w:rPr>
          <w:vertAlign w:val="subscript"/>
        </w:rPr>
        <w:t>2</w:t>
      </w:r>
      <w:r w:rsidRPr="00511A36">
        <w:t xml:space="preserve">-emissions scenario (RCP 8.5), average temperatures are expected to rise by approximately 5°F and continue to </w:t>
      </w:r>
      <w:r w:rsidR="00A93E6B">
        <w:t>increase</w:t>
      </w:r>
      <w:r w:rsidR="00A93E6B" w:rsidRPr="00511A36">
        <w:t xml:space="preserve"> </w:t>
      </w:r>
      <w:r w:rsidRPr="00511A36">
        <w:t>thereafter.</w:t>
      </w:r>
      <w:r w:rsidRPr="00511A36">
        <w:rPr>
          <w:rStyle w:val="FootnoteReference"/>
        </w:rPr>
        <w:footnoteReference w:id="19"/>
      </w:r>
      <w:r w:rsidRPr="00511A36">
        <w:t xml:space="preserve"> Heat Wave Days, or Warm Spell Days (6 or more consecutive days with daily maximum </w:t>
      </w:r>
      <w:r w:rsidR="00A92E10" w:rsidRPr="00511A36">
        <w:t>temperatures above the 90th percentile), occur approximately 4 days per year under</w:t>
      </w:r>
      <w:r w:rsidRPr="00511A36">
        <w:t xml:space="preserve"> current conditions. By 2050, this is expected to rise from 4 days to 48 days annually. Similarly, Summer Days (the annual number of days when the daily maximum temperature is above 77°F)</w:t>
      </w:r>
      <w:r w:rsidR="0067101B" w:rsidRPr="00511A36">
        <w:t xml:space="preserve"> </w:t>
      </w:r>
      <w:r w:rsidRPr="00511A36">
        <w:t xml:space="preserve">are projected to rise from 81 days annually to 118 days annually by 2050, and Tropical Nights (the annual number of days where the daily minimum is below 68°F) are projected to rise from 10 days annually in current conditions to approximately 40 days by 2050. </w:t>
      </w:r>
    </w:p>
    <w:p w14:paraId="5053BC7C" w14:textId="4D1B02A4" w:rsidR="00970579" w:rsidRPr="00511A36" w:rsidRDefault="004D42B8" w:rsidP="00970579">
      <w:pPr>
        <w:rPr>
          <w:rFonts w:hint="eastAsia"/>
          <w:b/>
          <w:bCs/>
        </w:rPr>
      </w:pPr>
      <w:r w:rsidRPr="00511A36">
        <w:t xml:space="preserve">To further understand current and future vulnerability to extreme heat in WestCOG, CIRCA’s Heat CCVI can be utilized. The CCVI process is based on combinations of exposure, sensitivity, and adaptive capacity applied to thousands of grid cells. For example, the sensitivity component includes many contributors </w:t>
      </w:r>
      <w:r w:rsidR="00130D56">
        <w:t>across</w:t>
      </w:r>
      <w:r w:rsidRPr="00511A36">
        <w:t xml:space="preserve"> three different indicators – social, built, and ecological. Each indicator has its own final “score” based on the average of the contributors. The average of the 3 indicators represents </w:t>
      </w:r>
      <w:r w:rsidR="00DE15C8" w:rsidRPr="00511A36">
        <w:t xml:space="preserve">the sensitivity score </w:t>
      </w:r>
      <w:r w:rsidRPr="00511A36">
        <w:t xml:space="preserve">for one grid cell. This sensitivity score, along with </w:t>
      </w:r>
      <w:r w:rsidR="00DE15C8" w:rsidRPr="00511A36">
        <w:t xml:space="preserve">the final exposure and adaptive capacity scores, is used to calculate the vulnerability score, </w:t>
      </w:r>
      <w:r w:rsidR="00130D56">
        <w:t>yielding a range of</w:t>
      </w:r>
      <w:r w:rsidR="00DE15C8" w:rsidRPr="00511A36">
        <w:t xml:space="preserve"> gridded scores across</w:t>
      </w:r>
      <w:r w:rsidRPr="00511A36">
        <w:t xml:space="preserve"> a community. </w:t>
      </w:r>
      <w:r w:rsidR="00E400B8">
        <w:t>A map of h</w:t>
      </w:r>
      <w:r w:rsidRPr="00511A36">
        <w:t>eat vulnerability in the WestCOG region</w:t>
      </w:r>
      <w:r w:rsidR="00E400B8">
        <w:t xml:space="preserve"> can be found in </w:t>
      </w:r>
      <w:r w:rsidR="00E400B8" w:rsidRPr="00843358">
        <w:fldChar w:fldCharType="begin" w:fldLock="1"/>
      </w:r>
      <w:r w:rsidR="00E400B8" w:rsidRPr="00843358">
        <w:instrText xml:space="preserve"> REF _Ref228512228 \h </w:instrText>
      </w:r>
      <w:r w:rsidR="005E43AE" w:rsidRPr="00843358">
        <w:instrText xml:space="preserve"> \* MERGEFORMAT </w:instrText>
      </w:r>
      <w:r w:rsidR="00E400B8" w:rsidRPr="00843358">
        <w:fldChar w:fldCharType="separate"/>
      </w:r>
      <w:r w:rsidR="00AB64CB" w:rsidRPr="002508EE">
        <w:rPr>
          <w:rFonts w:eastAsia="Arial"/>
        </w:rPr>
        <w:t>Appendix A: Maps</w:t>
      </w:r>
      <w:r w:rsidR="00E400B8" w:rsidRPr="00843358">
        <w:fldChar w:fldCharType="end"/>
      </w:r>
      <w:r w:rsidRPr="00843358">
        <w:t xml:space="preserve">. </w:t>
      </w:r>
    </w:p>
    <w:p w14:paraId="6E4BE710" w14:textId="0158059B" w:rsidR="004D42B8" w:rsidRPr="00511A36" w:rsidRDefault="004D42B8" w:rsidP="004D42B8">
      <w:pPr>
        <w:rPr>
          <w:rFonts w:hint="eastAsia"/>
        </w:rPr>
      </w:pPr>
      <w:r w:rsidRPr="00511A36">
        <w:t xml:space="preserve">Urban areas within the City of Danbury, </w:t>
      </w:r>
      <w:r w:rsidR="00DE15C8" w:rsidRPr="00511A36">
        <w:t>the City of Norwalk, the City of Stamford, and the Town of Greenwich are among</w:t>
      </w:r>
      <w:r w:rsidRPr="00511A36">
        <w:t xml:space="preserve"> the most </w:t>
      </w:r>
      <w:r w:rsidR="00DE15C8" w:rsidRPr="00511A36">
        <w:t>heat-vulnerable</w:t>
      </w:r>
      <w:r w:rsidRPr="00511A36">
        <w:t xml:space="preserve"> areas in the region. CIRCA has deployed heat sensor networks in the WestCOG region to evaluate </w:t>
      </w:r>
      <w:r w:rsidR="00DE15C8" w:rsidRPr="00511A36">
        <w:t>whether and how street-level heat exposure compares with vulnerabilities identified</w:t>
      </w:r>
      <w:r w:rsidRPr="00511A36">
        <w:t xml:space="preserve"> in the CCVI. </w:t>
      </w:r>
      <w:r w:rsidR="00D5081D" w:rsidRPr="00511A36">
        <w:t>This</w:t>
      </w:r>
      <w:r w:rsidRPr="00511A36">
        <w:t xml:space="preserve"> data will be available in the future.</w:t>
      </w:r>
    </w:p>
    <w:p w14:paraId="0EE65D58" w14:textId="4B1F49C9" w:rsidR="00882200" w:rsidRDefault="00D5081D">
      <w:pPr>
        <w:pStyle w:val="Heading2"/>
        <w:rPr>
          <w:rFonts w:hint="eastAsia"/>
        </w:rPr>
      </w:pPr>
      <w:bookmarkStart w:id="57" w:name="_Toc233228228"/>
      <w:r w:rsidRPr="002508EE">
        <w:t xml:space="preserve">Key </w:t>
      </w:r>
      <w:r w:rsidR="00403B87">
        <w:t>Planning Information for Extreme Heat</w:t>
      </w:r>
      <w:bookmarkEnd w:id="57"/>
    </w:p>
    <w:p w14:paraId="76208C79" w14:textId="3C7161B2" w:rsidR="00DB33CF" w:rsidRPr="00DB33CF" w:rsidRDefault="00DB33CF" w:rsidP="00DB33CF">
      <w:pPr>
        <w:rPr>
          <w:rFonts w:hint="eastAsia"/>
        </w:rPr>
      </w:pPr>
      <w:r>
        <w:t>E</w:t>
      </w:r>
      <w:r w:rsidRPr="00511A36">
        <w:t xml:space="preserve">xtreme heat will impact the entire WestCOG region. </w:t>
      </w:r>
      <w:r w:rsidR="00130D56">
        <w:t>The c</w:t>
      </w:r>
      <w:r w:rsidR="00130D56" w:rsidRPr="00511A36">
        <w:t xml:space="preserve">urrent </w:t>
      </w:r>
      <w:r w:rsidRPr="00511A36">
        <w:t xml:space="preserve">condition baseline heat vulnerability can be viewed </w:t>
      </w:r>
      <w:r w:rsidR="00130D56">
        <w:t>in</w:t>
      </w:r>
      <w:r w:rsidR="00130D56" w:rsidRPr="00511A36">
        <w:t xml:space="preserve"> </w:t>
      </w:r>
      <w:r w:rsidRPr="00511A36">
        <w:t xml:space="preserve">CIRCA’s Heat CCVI. Urbanized areas along the coast </w:t>
      </w:r>
      <w:r>
        <w:t>and inland near the City of Danbury and surrounding areas</w:t>
      </w:r>
      <w:r w:rsidRPr="002508EE">
        <w:t xml:space="preserve"> </w:t>
      </w:r>
      <w:r w:rsidRPr="00511A36">
        <w:t xml:space="preserve">are at a higher risk </w:t>
      </w:r>
      <w:r>
        <w:t>of</w:t>
      </w:r>
      <w:r w:rsidRPr="00511A36">
        <w:t xml:space="preserve"> heat-related impacts due to the heat island effect. By 2050, in a high CO</w:t>
      </w:r>
      <w:r w:rsidRPr="00E412A8">
        <w:rPr>
          <w:i/>
          <w:iCs/>
          <w:vertAlign w:val="subscript"/>
        </w:rPr>
        <w:t>2</w:t>
      </w:r>
      <w:r w:rsidRPr="00511A36">
        <w:t xml:space="preserve">-emissions scenario (RCP 8.5), average temperatures are expected to rise by approximately 5°F and continue to </w:t>
      </w:r>
      <w:r w:rsidR="00FF4F5E">
        <w:t>increase</w:t>
      </w:r>
      <w:r w:rsidR="00FF4F5E" w:rsidRPr="00511A36">
        <w:t xml:space="preserve"> </w:t>
      </w:r>
      <w:r w:rsidRPr="00511A36">
        <w:t>thereafter.</w:t>
      </w:r>
    </w:p>
    <w:p w14:paraId="78CCD981" w14:textId="4FBBCD7D" w:rsidR="00C504C2" w:rsidRPr="00511A36" w:rsidRDefault="00C504C2" w:rsidP="00162924">
      <w:pPr>
        <w:pStyle w:val="ListParagraph"/>
        <w:numPr>
          <w:ilvl w:val="0"/>
          <w:numId w:val="94"/>
        </w:numPr>
        <w:rPr>
          <w:rFonts w:hint="eastAsia"/>
        </w:rPr>
      </w:pPr>
      <w:r w:rsidRPr="00E412A8">
        <w:t xml:space="preserve">CIRCA’s Heat CCVI can be used </w:t>
      </w:r>
      <w:r w:rsidR="00B835A3" w:rsidRPr="00511A36">
        <w:t xml:space="preserve">as a baseline </w:t>
      </w:r>
      <w:r w:rsidRPr="00E412A8">
        <w:t xml:space="preserve">for </w:t>
      </w:r>
      <w:r w:rsidR="00B835A3" w:rsidRPr="00E412A8">
        <w:t xml:space="preserve">current condition </w:t>
      </w:r>
      <w:r w:rsidRPr="00E412A8">
        <w:t>planning considerations</w:t>
      </w:r>
      <w:r w:rsidR="00B835A3" w:rsidRPr="00511A36">
        <w:t>.</w:t>
      </w:r>
      <w:r w:rsidRPr="00E412A8">
        <w:t xml:space="preserve"> </w:t>
      </w:r>
    </w:p>
    <w:p w14:paraId="29A97BC7" w14:textId="14D17C91" w:rsidR="00366658" w:rsidRPr="00E412A8" w:rsidRDefault="00C534D9" w:rsidP="00162924">
      <w:pPr>
        <w:pStyle w:val="ListParagraph"/>
        <w:numPr>
          <w:ilvl w:val="0"/>
          <w:numId w:val="94"/>
        </w:numPr>
        <w:rPr>
          <w:rFonts w:hint="eastAsia"/>
          <w:b/>
          <w:bCs/>
        </w:rPr>
      </w:pPr>
      <w:r w:rsidRPr="00511A36">
        <w:t>By 2050, in a high CO</w:t>
      </w:r>
      <w:r w:rsidRPr="00511A36">
        <w:rPr>
          <w:vertAlign w:val="subscript"/>
        </w:rPr>
        <w:t>2</w:t>
      </w:r>
      <w:r w:rsidRPr="00511A36">
        <w:t>-emissions scenario (RCP 8.5), average temperatures are expected to rise by approximately 5°F and continue to rise thereafter.</w:t>
      </w:r>
    </w:p>
    <w:p w14:paraId="58AFE12F" w14:textId="4AFB3DDA" w:rsidR="00C534D9" w:rsidRPr="00E412A8" w:rsidRDefault="000A1703" w:rsidP="00162924">
      <w:pPr>
        <w:pStyle w:val="ListParagraph"/>
        <w:numPr>
          <w:ilvl w:val="0"/>
          <w:numId w:val="94"/>
        </w:numPr>
        <w:rPr>
          <w:rFonts w:hint="eastAsia"/>
          <w:b/>
          <w:bCs/>
        </w:rPr>
      </w:pPr>
      <w:r w:rsidRPr="00511A36">
        <w:t>Heat Wave Days (6 or more consecutive days with daily maximum temperatures above the 90th percentile) are expected to rise from 4 days annually to 48 days annually by 2050.</w:t>
      </w:r>
    </w:p>
    <w:p w14:paraId="54BEFD64" w14:textId="66050AB2" w:rsidR="000A1703" w:rsidRPr="00E412A8" w:rsidRDefault="000A1703" w:rsidP="00162924">
      <w:pPr>
        <w:pStyle w:val="ListParagraph"/>
        <w:numPr>
          <w:ilvl w:val="0"/>
          <w:numId w:val="94"/>
        </w:numPr>
        <w:rPr>
          <w:rFonts w:hint="eastAsia"/>
          <w:b/>
          <w:bCs/>
        </w:rPr>
      </w:pPr>
      <w:r w:rsidRPr="00E412A8">
        <w:t>Summer Days</w:t>
      </w:r>
      <w:r w:rsidRPr="00511A36">
        <w:t xml:space="preserve"> (the annual number of days when the daily maximum temperature is above 77°F) are projected to rise from 81 days annually to 118 days annually by 2050.</w:t>
      </w:r>
    </w:p>
    <w:p w14:paraId="0C9471BC" w14:textId="1D65CCC3" w:rsidR="000A1703" w:rsidRPr="00E412A8" w:rsidRDefault="000A1703" w:rsidP="00162924">
      <w:pPr>
        <w:pStyle w:val="ListParagraph"/>
        <w:numPr>
          <w:ilvl w:val="0"/>
          <w:numId w:val="94"/>
        </w:numPr>
        <w:rPr>
          <w:rFonts w:hint="eastAsia"/>
          <w:b/>
          <w:bCs/>
        </w:rPr>
      </w:pPr>
      <w:r w:rsidRPr="00511A36">
        <w:t>Tropical Nights (the annual number of days where the daily minimum is below 68°F) are projected to rise from 10 days annually to 40 days annually by 2050.</w:t>
      </w:r>
    </w:p>
    <w:p w14:paraId="6EA63151" w14:textId="002E2B99" w:rsidR="00D5081D" w:rsidRPr="00511A36" w:rsidRDefault="00DA3823">
      <w:pPr>
        <w:pStyle w:val="Heading2"/>
        <w:rPr>
          <w:rFonts w:hint="eastAsia"/>
        </w:rPr>
      </w:pPr>
      <w:bookmarkStart w:id="58" w:name="_Toc233228229"/>
      <w:r>
        <w:t>Identified Best Practices Related to Extreme Heat</w:t>
      </w:r>
      <w:bookmarkEnd w:id="58"/>
    </w:p>
    <w:p w14:paraId="60F23286" w14:textId="0E1E9B19" w:rsidR="008D756B" w:rsidRPr="003A3506" w:rsidRDefault="008D756B" w:rsidP="00734799">
      <w:pPr>
        <w:rPr>
          <w:rFonts w:hint="eastAsia"/>
        </w:rPr>
      </w:pPr>
      <w:r>
        <w:t>WestCOG municipalities can follow several best practices to mitigate the impacts of extreme heat, including:</w:t>
      </w:r>
    </w:p>
    <w:p w14:paraId="598C4CFC" w14:textId="53EB7B35" w:rsidR="00F107BF" w:rsidRDefault="00E643E9" w:rsidP="00162924">
      <w:pPr>
        <w:pStyle w:val="ListParagraph"/>
        <w:numPr>
          <w:ilvl w:val="0"/>
          <w:numId w:val="93"/>
        </w:numPr>
        <w:rPr>
          <w:rFonts w:hint="eastAsia"/>
        </w:rPr>
      </w:pPr>
      <w:r w:rsidRPr="00734799">
        <w:rPr>
          <w:b/>
          <w:bCs/>
        </w:rPr>
        <w:t>Cooling Centers:</w:t>
      </w:r>
      <w:r>
        <w:t xml:space="preserve"> </w:t>
      </w:r>
      <w:r w:rsidR="00F107BF">
        <w:t>The identification and design of cooling centers,</w:t>
      </w:r>
      <w:r w:rsidR="00B803F5">
        <w:t xml:space="preserve"> and </w:t>
      </w:r>
      <w:r w:rsidR="00F107BF">
        <w:t>campaigns to increase public awareness</w:t>
      </w:r>
      <w:r w:rsidR="00431104">
        <w:t>,</w:t>
      </w:r>
      <w:r w:rsidR="00F107BF">
        <w:t xml:space="preserve"> particularly during heat waves.</w:t>
      </w:r>
    </w:p>
    <w:p w14:paraId="4C5D9DF6" w14:textId="5ECF27A9" w:rsidR="00F107BF" w:rsidRDefault="00E643E9" w:rsidP="00162924">
      <w:pPr>
        <w:pStyle w:val="ListParagraph"/>
        <w:numPr>
          <w:ilvl w:val="0"/>
          <w:numId w:val="93"/>
        </w:numPr>
        <w:rPr>
          <w:rFonts w:hint="eastAsia"/>
        </w:rPr>
      </w:pPr>
      <w:r w:rsidRPr="00734799">
        <w:rPr>
          <w:b/>
          <w:bCs/>
        </w:rPr>
        <w:t>Green Infrastructure:</w:t>
      </w:r>
      <w:r>
        <w:t xml:space="preserve"> </w:t>
      </w:r>
      <w:r w:rsidR="00431104" w:rsidRPr="00431104">
        <w:t>Trees, green roofs, and vegetation can help reduce heat island effects by shading building surfaces, deflecting radiation from the sun, and releasing moisture into the atmosphere.</w:t>
      </w:r>
    </w:p>
    <w:p w14:paraId="755EF479" w14:textId="0A5E8F3F" w:rsidR="00DA3823" w:rsidRDefault="00E643E9" w:rsidP="00162924">
      <w:pPr>
        <w:pStyle w:val="ListParagraph"/>
        <w:numPr>
          <w:ilvl w:val="0"/>
          <w:numId w:val="93"/>
        </w:numPr>
        <w:rPr>
          <w:rFonts w:hint="eastAsia"/>
        </w:rPr>
      </w:pPr>
      <w:r w:rsidRPr="00734799">
        <w:rPr>
          <w:b/>
          <w:bCs/>
        </w:rPr>
        <w:t xml:space="preserve">Building Code </w:t>
      </w:r>
      <w:r>
        <w:rPr>
          <w:b/>
          <w:bCs/>
        </w:rPr>
        <w:t>Enforcement</w:t>
      </w:r>
      <w:r w:rsidRPr="00734799">
        <w:rPr>
          <w:b/>
          <w:bCs/>
        </w:rPr>
        <w:t>:</w:t>
      </w:r>
      <w:r>
        <w:t xml:space="preserve"> </w:t>
      </w:r>
      <w:r w:rsidR="00283A91">
        <w:t>Adherence</w:t>
      </w:r>
      <w:r w:rsidR="005F2D91">
        <w:t xml:space="preserve"> to the most up-to-date building codes</w:t>
      </w:r>
      <w:r w:rsidR="00283A91">
        <w:t xml:space="preserve"> (2022 Connecticut State Building Code)</w:t>
      </w:r>
      <w:r w:rsidR="00431104">
        <w:t xml:space="preserve"> will help keep residents insulated and </w:t>
      </w:r>
      <w:r w:rsidR="00A95B27">
        <w:t>protected from heat impacts</w:t>
      </w:r>
      <w:r w:rsidR="00CB54C1">
        <w:t>.</w:t>
      </w:r>
      <w:r w:rsidR="00190DBF">
        <w:rPr>
          <w:rStyle w:val="FootnoteReference"/>
        </w:rPr>
        <w:footnoteReference w:id="20"/>
      </w:r>
    </w:p>
    <w:p w14:paraId="5E19F953" w14:textId="10B355EB" w:rsidR="00CB54C1" w:rsidRPr="00DA3823" w:rsidRDefault="00CB54C1" w:rsidP="00162924">
      <w:pPr>
        <w:pStyle w:val="ListParagraph"/>
        <w:numPr>
          <w:ilvl w:val="1"/>
          <w:numId w:val="70"/>
        </w:numPr>
        <w:ind w:left="1440"/>
        <w:rPr>
          <w:rFonts w:hint="eastAsia"/>
        </w:rPr>
      </w:pPr>
      <w:r>
        <w:t xml:space="preserve">An update </w:t>
      </w:r>
      <w:r w:rsidR="00A95B27">
        <w:t xml:space="preserve">to the state building code </w:t>
      </w:r>
      <w:r>
        <w:t>will be released in 2026</w:t>
      </w:r>
      <w:r w:rsidR="00A95B27">
        <w:t>.</w:t>
      </w:r>
    </w:p>
    <w:p w14:paraId="70EC31FE" w14:textId="77777777" w:rsidR="004D42B8" w:rsidRPr="00511A36" w:rsidRDefault="004D42B8" w:rsidP="00734799">
      <w:pPr>
        <w:pStyle w:val="Heading1"/>
        <w:rPr>
          <w:rFonts w:hint="eastAsia"/>
        </w:rPr>
      </w:pPr>
      <w:bookmarkStart w:id="59" w:name="_Toc233228230"/>
      <w:r w:rsidRPr="00511A36">
        <w:t>Drought</w:t>
      </w:r>
      <w:bookmarkEnd w:id="59"/>
    </w:p>
    <w:p w14:paraId="3046CDBE" w14:textId="0876B5EB" w:rsidR="004D42B8" w:rsidRPr="00511A36" w:rsidRDefault="004D42B8" w:rsidP="004D42B8">
      <w:pPr>
        <w:rPr>
          <w:rFonts w:hint="eastAsia"/>
        </w:rPr>
      </w:pPr>
      <w:r w:rsidRPr="00511A36">
        <w:t xml:space="preserve">Drought is a sustained period of low precipitation relative to established climatic norms, resulting in water deficits that affect water supply, agricultural productivity, ecological function, and infrastructure performance. Although Connecticut does not experience the chronic, multi-year drought conditions associated with arid climates, the state’s shifting precipitation patterns and rising temperatures are increasing both the frequency and severity of short-duration drought events with meaningful implications for municipal planning and resource management across the WestCOG region. </w:t>
      </w:r>
    </w:p>
    <w:p w14:paraId="274FBE3A" w14:textId="64BDD11A" w:rsidR="004D42B8" w:rsidRPr="00511A36" w:rsidRDefault="004D42B8" w:rsidP="004D42B8">
      <w:pPr>
        <w:rPr>
          <w:rFonts w:hint="eastAsia"/>
        </w:rPr>
      </w:pPr>
      <w:r w:rsidRPr="00511A36">
        <w:t xml:space="preserve">The Connecticut Department of Agriculture provides resources for monitoring drought, </w:t>
      </w:r>
      <w:r w:rsidR="00055458">
        <w:t>including</w:t>
      </w:r>
      <w:r w:rsidRPr="00511A36">
        <w:t xml:space="preserve"> the U.S. Drought Monitor and Interagency Drought Workgroup (IDW). Additionally, the Connecticut Water Planning Council hosts drought-related resources and information on their website, including data, planning materials such as the Connecticut Drought Preparedness and Response Plan, and resources on related hazards and water conservation. </w:t>
      </w:r>
    </w:p>
    <w:p w14:paraId="3941867F" w14:textId="77777777" w:rsidR="004D42B8" w:rsidRPr="00511A36" w:rsidRDefault="004D42B8" w:rsidP="004D42B8">
      <w:pPr>
        <w:rPr>
          <w:rFonts w:hint="eastAsia"/>
        </w:rPr>
      </w:pPr>
      <w:r w:rsidRPr="00511A36">
        <w:t>Overall, the WestCOG region has been heavily impacted over the decades by three types of droughts:</w:t>
      </w:r>
    </w:p>
    <w:p w14:paraId="21D17E4B" w14:textId="5823ABBF" w:rsidR="004D42B8" w:rsidRPr="00511A36" w:rsidRDefault="004D42B8" w:rsidP="00162924">
      <w:pPr>
        <w:pStyle w:val="ListParagraph"/>
        <w:numPr>
          <w:ilvl w:val="0"/>
          <w:numId w:val="95"/>
        </w:numPr>
        <w:rPr>
          <w:rFonts w:hint="eastAsia"/>
        </w:rPr>
      </w:pPr>
      <w:r w:rsidRPr="00511A36">
        <w:t>The 1960s drought in Connecticut, which remains the most severe drought of the last 100 years in Connecticut</w:t>
      </w:r>
      <w:r w:rsidR="00DE15C8" w:rsidRPr="00511A36">
        <w:t>,</w:t>
      </w:r>
      <w:r w:rsidRPr="00511A36">
        <w:t xml:space="preserve"> and is considered the drought of record for most water utility drought planning </w:t>
      </w:r>
    </w:p>
    <w:p w14:paraId="7CE6DA02" w14:textId="610BB619" w:rsidR="004D42B8" w:rsidRPr="00511A36" w:rsidRDefault="004D42B8" w:rsidP="00162924">
      <w:pPr>
        <w:pStyle w:val="ListParagraph"/>
        <w:numPr>
          <w:ilvl w:val="0"/>
          <w:numId w:val="95"/>
        </w:numPr>
        <w:rPr>
          <w:rFonts w:hint="eastAsia"/>
        </w:rPr>
      </w:pPr>
      <w:r w:rsidRPr="00511A36">
        <w:t xml:space="preserve">The northeastern drought of 2015-2017, which severely affected public water supply in the WestCOG region and directly </w:t>
      </w:r>
      <w:r w:rsidR="00FF4F5E">
        <w:t>led</w:t>
      </w:r>
      <w:r w:rsidR="00FF4F5E" w:rsidRPr="00511A36">
        <w:t xml:space="preserve"> </w:t>
      </w:r>
      <w:r w:rsidRPr="00511A36">
        <w:t>to the construction of the emergency pipeline from the Bridgeport region to the Stamford region</w:t>
      </w:r>
    </w:p>
    <w:p w14:paraId="3F468BF7" w14:textId="5FE4C13E" w:rsidR="004D42B8" w:rsidRPr="00511A36" w:rsidRDefault="004D42B8" w:rsidP="00162924">
      <w:pPr>
        <w:pStyle w:val="ListParagraph"/>
        <w:numPr>
          <w:ilvl w:val="0"/>
          <w:numId w:val="95"/>
        </w:numPr>
        <w:rPr>
          <w:rFonts w:hint="eastAsia"/>
        </w:rPr>
      </w:pPr>
      <w:r w:rsidRPr="00511A36">
        <w:t>Flash droughts of the last 15-20 years that develop quickly over a few months and then return to average conditions within 6-12 months; in the WestCOG region, the impacts of flash droughts are heavily influenced by the season in which they occur (for example, agricultural impacts occur when growing seasons are affected)</w:t>
      </w:r>
    </w:p>
    <w:p w14:paraId="10746BB5" w14:textId="65D63FF0" w:rsidR="004D42B8" w:rsidRPr="00511A36" w:rsidRDefault="004D42B8" w:rsidP="004D42B8">
      <w:pPr>
        <w:rPr>
          <w:rFonts w:hint="eastAsia"/>
        </w:rPr>
      </w:pPr>
      <w:r w:rsidRPr="00511A36">
        <w:t xml:space="preserve">While droughts are difficult to predict, most </w:t>
      </w:r>
      <w:r w:rsidR="00882200" w:rsidRPr="00511A36">
        <w:t xml:space="preserve">Connecticut communities believe that flash droughts will </w:t>
      </w:r>
      <w:r w:rsidRPr="00511A36">
        <w:t>need more attention in the coming years.</w:t>
      </w:r>
    </w:p>
    <w:p w14:paraId="1806936C" w14:textId="738E2D41" w:rsidR="004D42B8" w:rsidRPr="00511A36" w:rsidRDefault="004D42B8" w:rsidP="004D42B8">
      <w:pPr>
        <w:rPr>
          <w:rFonts w:hint="eastAsia"/>
          <w:i/>
          <w:iCs/>
          <w:sz w:val="18"/>
          <w:szCs w:val="18"/>
        </w:rPr>
      </w:pPr>
      <w:r w:rsidRPr="00511A36">
        <w:t>As presented in the Extreme Precipitation section, precipitation is projected to increase significantly in the future. However, increase</w:t>
      </w:r>
      <w:r w:rsidR="0058487B">
        <w:t>d</w:t>
      </w:r>
      <w:r w:rsidRPr="00511A36">
        <w:t xml:space="preserve"> precipitation may not translate </w:t>
      </w:r>
      <w:r w:rsidR="00882200" w:rsidRPr="00511A36">
        <w:t xml:space="preserve">into </w:t>
      </w:r>
      <w:r w:rsidR="0058487B">
        <w:t>greater</w:t>
      </w:r>
      <w:r w:rsidR="0058487B" w:rsidRPr="00511A36">
        <w:t xml:space="preserve"> </w:t>
      </w:r>
      <w:r w:rsidR="00882200" w:rsidRPr="00511A36">
        <w:t xml:space="preserve">water availability due to higher </w:t>
      </w:r>
      <w:r w:rsidRPr="00511A36">
        <w:t>evapotranspiration caused by higher temperatures. According to the CTPCSA Report, annual and summer P-PET</w:t>
      </w:r>
      <w:r w:rsidR="00180160">
        <w:t xml:space="preserve"> (</w:t>
      </w:r>
      <w:r w:rsidR="00882200" w:rsidRPr="00511A36">
        <w:t>annual and summer precipitation minus potential evapotranspiration</w:t>
      </w:r>
      <w:r w:rsidR="00180160">
        <w:t xml:space="preserve">) </w:t>
      </w:r>
      <w:proofErr w:type="gramStart"/>
      <w:r w:rsidR="00882200" w:rsidRPr="00511A36">
        <w:t>show</w:t>
      </w:r>
      <w:proofErr w:type="gramEnd"/>
      <w:r w:rsidR="00882200" w:rsidRPr="00511A36">
        <w:t xml:space="preserve"> a slight </w:t>
      </w:r>
      <w:r w:rsidR="00035AC1">
        <w:t>upward</w:t>
      </w:r>
      <w:r w:rsidR="00035AC1" w:rsidRPr="00511A36">
        <w:t xml:space="preserve"> </w:t>
      </w:r>
      <w:r w:rsidR="00882200" w:rsidRPr="00511A36">
        <w:t>trend in the early decades of the 21st century</w:t>
      </w:r>
      <w:r w:rsidR="00572D77">
        <w:t xml:space="preserve">, followed by </w:t>
      </w:r>
      <w:r w:rsidR="00882200" w:rsidRPr="00511A36">
        <w:t>a decrease (indicating</w:t>
      </w:r>
      <w:r w:rsidRPr="00511A36">
        <w:t xml:space="preserve"> an increase in drought risk). This is especially true in the summer season. The mid-century projections for annual values </w:t>
      </w:r>
      <w:r w:rsidR="008E2931" w:rsidRPr="00511A36">
        <w:t xml:space="preserve">are inconclusive </w:t>
      </w:r>
      <w:r w:rsidRPr="00511A36">
        <w:t>due to a lack of model consensus.</w:t>
      </w:r>
      <w:r w:rsidR="0067101B" w:rsidRPr="00511A36">
        <w:t xml:space="preserve"> </w:t>
      </w:r>
      <w:r w:rsidR="006E6170" w:rsidRPr="00843358">
        <w:fldChar w:fldCharType="begin" w:fldLock="1"/>
      </w:r>
      <w:r w:rsidR="006E6170" w:rsidRPr="00843358">
        <w:instrText xml:space="preserve"> REF _Ref228888171 \h </w:instrText>
      </w:r>
      <w:r w:rsidR="005E43AE" w:rsidRPr="00843358">
        <w:instrText xml:space="preserve"> \* MERGEFORMAT </w:instrText>
      </w:r>
      <w:r w:rsidR="006E6170" w:rsidRPr="00843358">
        <w:fldChar w:fldCharType="separate"/>
      </w:r>
      <w:r w:rsidR="00AB64CB">
        <w:t xml:space="preserve">Table </w:t>
      </w:r>
      <w:r w:rsidR="00AB64CB">
        <w:rPr>
          <w:noProof/>
        </w:rPr>
        <w:t>7</w:t>
      </w:r>
      <w:r w:rsidR="006E6170" w:rsidRPr="00843358">
        <w:fldChar w:fldCharType="end"/>
      </w:r>
      <w:r w:rsidRPr="00511A36">
        <w:t>, pulled from the CTPCSA Report, presents annual and summer P-PET with projected changes in the mid- and late-</w:t>
      </w:r>
      <w:proofErr w:type="gramStart"/>
      <w:r w:rsidRPr="00511A36">
        <w:t>century</w:t>
      </w:r>
      <w:proofErr w:type="gramEnd"/>
      <w:r w:rsidRPr="00511A36">
        <w:t xml:space="preserve">. </w:t>
      </w:r>
      <w:r w:rsidRPr="00511A36">
        <w:rPr>
          <w:rStyle w:val="FootnoteReference"/>
        </w:rPr>
        <w:footnoteReference w:id="21"/>
      </w:r>
    </w:p>
    <w:p w14:paraId="6C252C9F" w14:textId="77777777" w:rsidR="002E70B2" w:rsidRDefault="002E70B2">
      <w:pPr>
        <w:spacing w:line="259" w:lineRule="auto"/>
        <w:rPr>
          <w:rFonts w:hint="eastAsia"/>
          <w:b/>
          <w:bCs/>
          <w:color w:val="000000" w:themeColor="text2"/>
          <w:sz w:val="18"/>
          <w:szCs w:val="18"/>
        </w:rPr>
      </w:pPr>
      <w:bookmarkStart w:id="60" w:name="_Ref228888171"/>
      <w:bookmarkStart w:id="61" w:name="_Toc233227500"/>
      <w:r>
        <w:rPr>
          <w:b/>
          <w:bCs/>
        </w:rPr>
        <w:br w:type="page"/>
      </w:r>
    </w:p>
    <w:p w14:paraId="4214836A" w14:textId="663DCE6E" w:rsidR="006E6170" w:rsidRDefault="006E6170" w:rsidP="00734799">
      <w:pPr>
        <w:pStyle w:val="Caption"/>
        <w:keepNext/>
        <w:rPr>
          <w:rFonts w:hint="eastAsia"/>
        </w:rPr>
      </w:pPr>
      <w:r w:rsidRPr="00162924">
        <w:rPr>
          <w:rFonts w:hint="eastAsia"/>
          <w:b/>
          <w:bCs/>
        </w:rPr>
        <w:t xml:space="preserve">Table </w:t>
      </w:r>
      <w:r w:rsidRPr="00162924">
        <w:rPr>
          <w:b/>
          <w:bCs/>
        </w:rPr>
        <w:fldChar w:fldCharType="begin"/>
      </w:r>
      <w:r w:rsidRPr="00162924">
        <w:rPr>
          <w:rFonts w:hint="eastAsia"/>
          <w:b/>
          <w:bCs/>
        </w:rPr>
        <w:instrText xml:space="preserve"> SEQ Table \* ARABIC </w:instrText>
      </w:r>
      <w:r w:rsidRPr="00162924">
        <w:rPr>
          <w:b/>
          <w:bCs/>
        </w:rPr>
        <w:fldChar w:fldCharType="separate"/>
      </w:r>
      <w:r w:rsidR="00AB64CB" w:rsidRPr="00162924">
        <w:rPr>
          <w:rFonts w:hint="eastAsia"/>
          <w:b/>
          <w:bCs/>
          <w:noProof/>
        </w:rPr>
        <w:t>7</w:t>
      </w:r>
      <w:r w:rsidRPr="00162924">
        <w:rPr>
          <w:b/>
          <w:bCs/>
          <w:noProof/>
        </w:rPr>
        <w:fldChar w:fldCharType="end"/>
      </w:r>
      <w:bookmarkEnd w:id="60"/>
      <w:r w:rsidRPr="00162924">
        <w:rPr>
          <w:rFonts w:hint="eastAsia"/>
          <w:b/>
          <w:bCs/>
        </w:rPr>
        <w:t>.</w:t>
      </w:r>
      <w:r>
        <w:t xml:space="preserve"> </w:t>
      </w:r>
      <w:r w:rsidRPr="002A5A40">
        <w:t>Annual and Summer Water Availability/Deficit and Recurrence Intervals.</w:t>
      </w:r>
      <w:bookmarkEnd w:id="61"/>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5"/>
        <w:gridCol w:w="1377"/>
        <w:gridCol w:w="2413"/>
        <w:gridCol w:w="2425"/>
      </w:tblGrid>
      <w:tr w:rsidR="004D42B8" w:rsidRPr="00511A36" w14:paraId="016B45DA" w14:textId="77777777" w:rsidTr="0073479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35" w:type="dxa"/>
            <w:vAlign w:val="center"/>
          </w:tcPr>
          <w:p w14:paraId="4F526369" w14:textId="77777777" w:rsidR="004D42B8" w:rsidRPr="00511A36" w:rsidRDefault="004D42B8">
            <w:pPr>
              <w:jc w:val="center"/>
              <w:rPr>
                <w:rFonts w:hint="eastAsia"/>
              </w:rPr>
            </w:pPr>
            <w:r w:rsidRPr="00511A36">
              <w:t>Variable</w:t>
            </w:r>
          </w:p>
        </w:tc>
        <w:tc>
          <w:tcPr>
            <w:tcW w:w="1377" w:type="dxa"/>
            <w:vAlign w:val="center"/>
          </w:tcPr>
          <w:p w14:paraId="26BC906F" w14:textId="77777777" w:rsidR="004D42B8" w:rsidRPr="00511A36" w:rsidRDefault="004D42B8">
            <w:pPr>
              <w:jc w:val="center"/>
              <w:cnfStyle w:val="100000000000" w:firstRow="1" w:lastRow="0" w:firstColumn="0" w:lastColumn="0" w:oddVBand="0" w:evenVBand="0" w:oddHBand="0" w:evenHBand="0" w:firstRowFirstColumn="0" w:firstRowLastColumn="0" w:lastRowFirstColumn="0" w:lastRowLastColumn="0"/>
              <w:rPr>
                <w:rFonts w:hint="eastAsia"/>
              </w:rPr>
            </w:pPr>
            <w:r w:rsidRPr="00511A36">
              <w:t>1970-99 Reference</w:t>
            </w:r>
          </w:p>
        </w:tc>
        <w:tc>
          <w:tcPr>
            <w:tcW w:w="2413" w:type="dxa"/>
            <w:vAlign w:val="center"/>
          </w:tcPr>
          <w:p w14:paraId="2AFDAB45" w14:textId="77777777" w:rsidR="004D42B8" w:rsidRPr="00511A36" w:rsidRDefault="004D42B8">
            <w:pPr>
              <w:jc w:val="center"/>
              <w:cnfStyle w:val="100000000000" w:firstRow="1" w:lastRow="0" w:firstColumn="0" w:lastColumn="0" w:oddVBand="0" w:evenVBand="0" w:oddHBand="0" w:evenHBand="0" w:firstRowFirstColumn="0" w:firstRowLastColumn="0" w:lastRowFirstColumn="0" w:lastRowLastColumn="0"/>
              <w:rPr>
                <w:rFonts w:hint="eastAsia"/>
              </w:rPr>
            </w:pPr>
            <w:r w:rsidRPr="00511A36">
              <w:t>2040-2069 Change</w:t>
            </w:r>
          </w:p>
        </w:tc>
        <w:tc>
          <w:tcPr>
            <w:tcW w:w="2425" w:type="dxa"/>
            <w:vAlign w:val="center"/>
          </w:tcPr>
          <w:p w14:paraId="60A051B4" w14:textId="77777777" w:rsidR="004D42B8" w:rsidRPr="00511A36" w:rsidRDefault="004D42B8">
            <w:pPr>
              <w:jc w:val="center"/>
              <w:cnfStyle w:val="100000000000" w:firstRow="1" w:lastRow="0" w:firstColumn="0" w:lastColumn="0" w:oddVBand="0" w:evenVBand="0" w:oddHBand="0" w:evenHBand="0" w:firstRowFirstColumn="0" w:firstRowLastColumn="0" w:lastRowFirstColumn="0" w:lastRowLastColumn="0"/>
              <w:rPr>
                <w:rFonts w:hint="eastAsia"/>
              </w:rPr>
            </w:pPr>
            <w:r w:rsidRPr="00511A36">
              <w:t>2070-2099 Change</w:t>
            </w:r>
          </w:p>
        </w:tc>
      </w:tr>
      <w:tr w:rsidR="004D42B8" w:rsidRPr="00511A36" w14:paraId="6919EECA" w14:textId="77777777" w:rsidTr="004922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5" w:type="dxa"/>
            <w:shd w:val="clear" w:color="auto" w:fill="528133" w:themeFill="accent1" w:themeFillShade="BF"/>
          </w:tcPr>
          <w:p w14:paraId="0B637F69" w14:textId="77777777" w:rsidR="004D42B8" w:rsidRPr="00511A36" w:rsidRDefault="004D42B8">
            <w:pPr>
              <w:rPr>
                <w:rFonts w:hint="eastAsia"/>
              </w:rPr>
            </w:pPr>
            <w:r w:rsidRPr="00162924">
              <w:rPr>
                <w:rFonts w:hint="eastAsia"/>
                <w:color w:val="FFFFFF" w:themeColor="background2"/>
              </w:rPr>
              <w:t>Annual</w:t>
            </w:r>
          </w:p>
        </w:tc>
        <w:tc>
          <w:tcPr>
            <w:tcW w:w="1377" w:type="dxa"/>
            <w:shd w:val="clear" w:color="auto" w:fill="528133" w:themeFill="accent1" w:themeFillShade="BF"/>
          </w:tcPr>
          <w:p w14:paraId="031B9001" w14:textId="7777777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p>
        </w:tc>
        <w:tc>
          <w:tcPr>
            <w:tcW w:w="2413" w:type="dxa"/>
            <w:shd w:val="clear" w:color="auto" w:fill="528133" w:themeFill="accent1" w:themeFillShade="BF"/>
          </w:tcPr>
          <w:p w14:paraId="53701F76" w14:textId="7777777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p>
        </w:tc>
        <w:tc>
          <w:tcPr>
            <w:tcW w:w="2425" w:type="dxa"/>
            <w:shd w:val="clear" w:color="auto" w:fill="528133" w:themeFill="accent1" w:themeFillShade="BF"/>
          </w:tcPr>
          <w:p w14:paraId="0F73D0B2" w14:textId="77777777" w:rsidR="004D42B8" w:rsidRPr="00511A36" w:rsidRDefault="004D42B8">
            <w:pPr>
              <w:cnfStyle w:val="000000100000" w:firstRow="0" w:lastRow="0" w:firstColumn="0" w:lastColumn="0" w:oddVBand="0" w:evenVBand="0" w:oddHBand="1" w:evenHBand="0" w:firstRowFirstColumn="0" w:firstRowLastColumn="0" w:lastRowFirstColumn="0" w:lastRowLastColumn="0"/>
              <w:rPr>
                <w:rFonts w:hint="eastAsia"/>
              </w:rPr>
            </w:pPr>
          </w:p>
        </w:tc>
      </w:tr>
      <w:tr w:rsidR="004D42B8" w:rsidRPr="00511A36" w14:paraId="7C010203" w14:textId="77777777" w:rsidTr="00492244">
        <w:tc>
          <w:tcPr>
            <w:cnfStyle w:val="001000000000" w:firstRow="0" w:lastRow="0" w:firstColumn="1" w:lastColumn="0" w:oddVBand="0" w:evenVBand="0" w:oddHBand="0" w:evenHBand="0" w:firstRowFirstColumn="0" w:firstRowLastColumn="0" w:lastRowFirstColumn="0" w:lastRowLastColumn="0"/>
            <w:tcW w:w="3135" w:type="dxa"/>
            <w:vAlign w:val="center"/>
          </w:tcPr>
          <w:p w14:paraId="22EAA914" w14:textId="77777777" w:rsidR="004D42B8" w:rsidRPr="00511A36" w:rsidRDefault="004D42B8">
            <w:pPr>
              <w:rPr>
                <w:rFonts w:hint="eastAsia"/>
              </w:rPr>
            </w:pPr>
            <w:r w:rsidRPr="00511A36">
              <w:t>Annual P-PET mean</w:t>
            </w:r>
          </w:p>
        </w:tc>
        <w:tc>
          <w:tcPr>
            <w:tcW w:w="1377" w:type="dxa"/>
            <w:vAlign w:val="center"/>
          </w:tcPr>
          <w:p w14:paraId="1F653B1C"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22.3±0.7</w:t>
            </w:r>
          </w:p>
        </w:tc>
        <w:tc>
          <w:tcPr>
            <w:tcW w:w="2413" w:type="dxa"/>
            <w:vAlign w:val="center"/>
          </w:tcPr>
          <w:p w14:paraId="099968A8"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N/A</w:t>
            </w:r>
          </w:p>
        </w:tc>
        <w:tc>
          <w:tcPr>
            <w:tcW w:w="2425" w:type="dxa"/>
            <w:vAlign w:val="center"/>
          </w:tcPr>
          <w:p w14:paraId="5D50B372"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-4.9±3.3 (-22%)</w:t>
            </w:r>
          </w:p>
        </w:tc>
      </w:tr>
      <w:tr w:rsidR="004D42B8" w:rsidRPr="00511A36" w14:paraId="2A4903B2" w14:textId="77777777" w:rsidTr="004922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5" w:type="dxa"/>
            <w:vAlign w:val="center"/>
          </w:tcPr>
          <w:p w14:paraId="4DB738FB" w14:textId="77777777" w:rsidR="004D42B8" w:rsidRPr="00511A36" w:rsidRDefault="004D42B8">
            <w:pPr>
              <w:rPr>
                <w:rFonts w:hint="eastAsia"/>
              </w:rPr>
            </w:pPr>
            <w:r w:rsidRPr="00511A36">
              <w:t>Annual P-PET 10-year Recurrence Interval</w:t>
            </w:r>
          </w:p>
        </w:tc>
        <w:tc>
          <w:tcPr>
            <w:tcW w:w="1377" w:type="dxa"/>
            <w:vAlign w:val="center"/>
          </w:tcPr>
          <w:p w14:paraId="0911D3D2"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12.2±1.4</w:t>
            </w:r>
          </w:p>
        </w:tc>
        <w:tc>
          <w:tcPr>
            <w:tcW w:w="2413" w:type="dxa"/>
            <w:vAlign w:val="center"/>
          </w:tcPr>
          <w:p w14:paraId="0BF7E294"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N/A</w:t>
            </w:r>
          </w:p>
        </w:tc>
        <w:tc>
          <w:tcPr>
            <w:tcW w:w="2425" w:type="dxa"/>
            <w:vAlign w:val="center"/>
          </w:tcPr>
          <w:p w14:paraId="3FBBFF96"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-7±3.8 (-56%); </w:t>
            </w:r>
            <w:r w:rsidRPr="00511A36">
              <w:rPr>
                <w:b/>
                <w:bCs/>
              </w:rPr>
              <w:t>4</w:t>
            </w:r>
          </w:p>
        </w:tc>
      </w:tr>
      <w:tr w:rsidR="004D42B8" w:rsidRPr="00511A36" w14:paraId="733A7A42" w14:textId="77777777" w:rsidTr="00492244">
        <w:tc>
          <w:tcPr>
            <w:cnfStyle w:val="001000000000" w:firstRow="0" w:lastRow="0" w:firstColumn="1" w:lastColumn="0" w:oddVBand="0" w:evenVBand="0" w:oddHBand="0" w:evenHBand="0" w:firstRowFirstColumn="0" w:firstRowLastColumn="0" w:lastRowFirstColumn="0" w:lastRowLastColumn="0"/>
            <w:tcW w:w="3135" w:type="dxa"/>
            <w:vAlign w:val="center"/>
          </w:tcPr>
          <w:p w14:paraId="4E1F9436" w14:textId="77777777" w:rsidR="004D42B8" w:rsidRPr="00511A36" w:rsidRDefault="004D42B8">
            <w:pPr>
              <w:rPr>
                <w:rFonts w:hint="eastAsia"/>
              </w:rPr>
            </w:pPr>
            <w:r w:rsidRPr="00511A36">
              <w:t>Annual P-PET 20-year Recurrence Interval</w:t>
            </w:r>
          </w:p>
        </w:tc>
        <w:tc>
          <w:tcPr>
            <w:tcW w:w="1377" w:type="dxa"/>
            <w:vAlign w:val="center"/>
          </w:tcPr>
          <w:p w14:paraId="2C85BF93"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9.4±1.6</w:t>
            </w:r>
          </w:p>
        </w:tc>
        <w:tc>
          <w:tcPr>
            <w:tcW w:w="2413" w:type="dxa"/>
            <w:vAlign w:val="center"/>
          </w:tcPr>
          <w:p w14:paraId="221329B8"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N/A</w:t>
            </w:r>
          </w:p>
        </w:tc>
        <w:tc>
          <w:tcPr>
            <w:tcW w:w="2425" w:type="dxa"/>
            <w:vAlign w:val="center"/>
          </w:tcPr>
          <w:p w14:paraId="54343DFA"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 xml:space="preserve">-7.5±3.9 (-80%); </w:t>
            </w:r>
            <w:r w:rsidRPr="00511A36">
              <w:rPr>
                <w:b/>
                <w:bCs/>
              </w:rPr>
              <w:t>6</w:t>
            </w:r>
          </w:p>
        </w:tc>
      </w:tr>
      <w:tr w:rsidR="004D42B8" w:rsidRPr="00511A36" w14:paraId="5F8529DC" w14:textId="77777777" w:rsidTr="004922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5" w:type="dxa"/>
            <w:vAlign w:val="center"/>
          </w:tcPr>
          <w:p w14:paraId="25711909" w14:textId="77777777" w:rsidR="004D42B8" w:rsidRPr="00511A36" w:rsidRDefault="004D42B8">
            <w:pPr>
              <w:rPr>
                <w:rFonts w:hint="eastAsia"/>
              </w:rPr>
            </w:pPr>
            <w:r w:rsidRPr="00511A36">
              <w:t>Annual P-PET 50-year Recurrence Interval</w:t>
            </w:r>
          </w:p>
        </w:tc>
        <w:tc>
          <w:tcPr>
            <w:tcW w:w="1377" w:type="dxa"/>
            <w:vAlign w:val="center"/>
          </w:tcPr>
          <w:p w14:paraId="7EDA26D6"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6.2±1.9</w:t>
            </w:r>
          </w:p>
        </w:tc>
        <w:tc>
          <w:tcPr>
            <w:tcW w:w="2413" w:type="dxa"/>
            <w:vAlign w:val="center"/>
          </w:tcPr>
          <w:p w14:paraId="1210E544"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N/A</w:t>
            </w:r>
          </w:p>
        </w:tc>
        <w:tc>
          <w:tcPr>
            <w:tcW w:w="2425" w:type="dxa"/>
            <w:vAlign w:val="center"/>
          </w:tcPr>
          <w:p w14:paraId="2D382F8E"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-8.2±4.1 (-133%); </w:t>
            </w:r>
            <w:r w:rsidRPr="00511A36">
              <w:rPr>
                <w:b/>
                <w:bCs/>
              </w:rPr>
              <w:t>11</w:t>
            </w:r>
          </w:p>
        </w:tc>
      </w:tr>
      <w:tr w:rsidR="004D42B8" w:rsidRPr="00511A36" w14:paraId="0CF0B01C" w14:textId="77777777" w:rsidTr="00492244">
        <w:tc>
          <w:tcPr>
            <w:cnfStyle w:val="001000000000" w:firstRow="0" w:lastRow="0" w:firstColumn="1" w:lastColumn="0" w:oddVBand="0" w:evenVBand="0" w:oddHBand="0" w:evenHBand="0" w:firstRowFirstColumn="0" w:firstRowLastColumn="0" w:lastRowFirstColumn="0" w:lastRowLastColumn="0"/>
            <w:tcW w:w="3135" w:type="dxa"/>
            <w:vAlign w:val="center"/>
          </w:tcPr>
          <w:p w14:paraId="12A3BD82" w14:textId="77777777" w:rsidR="004D42B8" w:rsidRPr="00511A36" w:rsidRDefault="004D42B8">
            <w:pPr>
              <w:rPr>
                <w:rFonts w:hint="eastAsia"/>
              </w:rPr>
            </w:pPr>
            <w:r w:rsidRPr="00511A36">
              <w:t>Annual P-PET 100-year Recurrence Interval</w:t>
            </w:r>
          </w:p>
        </w:tc>
        <w:tc>
          <w:tcPr>
            <w:tcW w:w="1377" w:type="dxa"/>
            <w:vAlign w:val="center"/>
          </w:tcPr>
          <w:p w14:paraId="2EA9DCE0"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4.0±2.1</w:t>
            </w:r>
          </w:p>
        </w:tc>
        <w:tc>
          <w:tcPr>
            <w:tcW w:w="2413" w:type="dxa"/>
            <w:vAlign w:val="center"/>
          </w:tcPr>
          <w:p w14:paraId="458B3D24"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N/A</w:t>
            </w:r>
          </w:p>
        </w:tc>
        <w:tc>
          <w:tcPr>
            <w:tcW w:w="2425" w:type="dxa"/>
            <w:vAlign w:val="center"/>
          </w:tcPr>
          <w:p w14:paraId="09B557A9"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 xml:space="preserve">-8.7±4.3 (-218%); </w:t>
            </w:r>
            <w:r w:rsidRPr="00511A36">
              <w:rPr>
                <w:b/>
                <w:bCs/>
              </w:rPr>
              <w:t>18</w:t>
            </w:r>
          </w:p>
        </w:tc>
      </w:tr>
      <w:tr w:rsidR="004D42B8" w:rsidRPr="00511A36" w14:paraId="6F793CAD" w14:textId="77777777" w:rsidTr="004922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5" w:type="dxa"/>
            <w:shd w:val="clear" w:color="auto" w:fill="528133" w:themeFill="accent1" w:themeFillShade="BF"/>
            <w:vAlign w:val="center"/>
          </w:tcPr>
          <w:p w14:paraId="08A0E11E" w14:textId="77777777" w:rsidR="004D42B8" w:rsidRPr="00511A36" w:rsidRDefault="004D42B8">
            <w:pPr>
              <w:rPr>
                <w:rFonts w:hint="eastAsia"/>
              </w:rPr>
            </w:pPr>
            <w:r w:rsidRPr="00162924">
              <w:rPr>
                <w:rFonts w:hint="eastAsia"/>
                <w:color w:val="FFFFFF" w:themeColor="background2"/>
              </w:rPr>
              <w:t>Summer</w:t>
            </w:r>
          </w:p>
        </w:tc>
        <w:tc>
          <w:tcPr>
            <w:tcW w:w="1377" w:type="dxa"/>
            <w:shd w:val="clear" w:color="auto" w:fill="528133" w:themeFill="accent1" w:themeFillShade="BF"/>
            <w:vAlign w:val="center"/>
          </w:tcPr>
          <w:p w14:paraId="1EE8DF31"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p>
        </w:tc>
        <w:tc>
          <w:tcPr>
            <w:tcW w:w="2413" w:type="dxa"/>
            <w:shd w:val="clear" w:color="auto" w:fill="528133" w:themeFill="accent1" w:themeFillShade="BF"/>
            <w:vAlign w:val="center"/>
          </w:tcPr>
          <w:p w14:paraId="66C7237B"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p>
        </w:tc>
        <w:tc>
          <w:tcPr>
            <w:tcW w:w="2425" w:type="dxa"/>
            <w:shd w:val="clear" w:color="auto" w:fill="528133" w:themeFill="accent1" w:themeFillShade="BF"/>
            <w:vAlign w:val="center"/>
          </w:tcPr>
          <w:p w14:paraId="00A906DF"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p>
        </w:tc>
      </w:tr>
      <w:tr w:rsidR="004D42B8" w:rsidRPr="00511A36" w14:paraId="31B4FAF9" w14:textId="77777777" w:rsidTr="00492244">
        <w:tc>
          <w:tcPr>
            <w:cnfStyle w:val="001000000000" w:firstRow="0" w:lastRow="0" w:firstColumn="1" w:lastColumn="0" w:oddVBand="0" w:evenVBand="0" w:oddHBand="0" w:evenHBand="0" w:firstRowFirstColumn="0" w:firstRowLastColumn="0" w:lastRowFirstColumn="0" w:lastRowLastColumn="0"/>
            <w:tcW w:w="3135" w:type="dxa"/>
            <w:vAlign w:val="center"/>
          </w:tcPr>
          <w:p w14:paraId="1919A460" w14:textId="77777777" w:rsidR="004D42B8" w:rsidRPr="00511A36" w:rsidRDefault="004D42B8">
            <w:pPr>
              <w:rPr>
                <w:rFonts w:hint="eastAsia"/>
              </w:rPr>
            </w:pPr>
            <w:r w:rsidRPr="00511A36">
              <w:t>Summer P-PET mean</w:t>
            </w:r>
          </w:p>
        </w:tc>
        <w:tc>
          <w:tcPr>
            <w:tcW w:w="1377" w:type="dxa"/>
            <w:vAlign w:val="center"/>
          </w:tcPr>
          <w:p w14:paraId="07C3A8B5"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-3.8±0.5</w:t>
            </w:r>
          </w:p>
        </w:tc>
        <w:tc>
          <w:tcPr>
            <w:tcW w:w="2413" w:type="dxa"/>
            <w:vAlign w:val="center"/>
          </w:tcPr>
          <w:p w14:paraId="782BD336"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-2.4±1.4 (64%)</w:t>
            </w:r>
          </w:p>
        </w:tc>
        <w:tc>
          <w:tcPr>
            <w:tcW w:w="2425" w:type="dxa"/>
            <w:vAlign w:val="center"/>
          </w:tcPr>
          <w:p w14:paraId="4452A5F2"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-5.0±3.7 (133%)</w:t>
            </w:r>
          </w:p>
        </w:tc>
      </w:tr>
      <w:tr w:rsidR="004D42B8" w:rsidRPr="00511A36" w14:paraId="37895A62" w14:textId="77777777" w:rsidTr="004922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5" w:type="dxa"/>
            <w:vAlign w:val="center"/>
          </w:tcPr>
          <w:p w14:paraId="070CF5EE" w14:textId="77777777" w:rsidR="004D42B8" w:rsidRPr="00511A36" w:rsidRDefault="004D42B8">
            <w:pPr>
              <w:rPr>
                <w:rFonts w:hint="eastAsia"/>
              </w:rPr>
            </w:pPr>
            <w:r w:rsidRPr="00511A36">
              <w:t>Summer P-PET 10-year Recurrence Interval</w:t>
            </w:r>
          </w:p>
        </w:tc>
        <w:tc>
          <w:tcPr>
            <w:tcW w:w="1377" w:type="dxa"/>
            <w:vAlign w:val="center"/>
          </w:tcPr>
          <w:p w14:paraId="17436C47"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-9.2±1.1</w:t>
            </w:r>
          </w:p>
        </w:tc>
        <w:tc>
          <w:tcPr>
            <w:tcW w:w="2413" w:type="dxa"/>
            <w:vAlign w:val="center"/>
          </w:tcPr>
          <w:p w14:paraId="109D97D8"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-3.8±1.8 (41%); </w:t>
            </w:r>
            <w:r w:rsidRPr="00511A36">
              <w:rPr>
                <w:b/>
                <w:bCs/>
              </w:rPr>
              <w:t>4</w:t>
            </w:r>
          </w:p>
        </w:tc>
        <w:tc>
          <w:tcPr>
            <w:tcW w:w="2425" w:type="dxa"/>
            <w:vAlign w:val="center"/>
          </w:tcPr>
          <w:p w14:paraId="08D6E7DA"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-6.8±3.3 (74%); </w:t>
            </w:r>
            <w:r w:rsidRPr="00511A36">
              <w:rPr>
                <w:b/>
                <w:bCs/>
              </w:rPr>
              <w:t>3</w:t>
            </w:r>
          </w:p>
        </w:tc>
      </w:tr>
      <w:tr w:rsidR="004D42B8" w:rsidRPr="00511A36" w14:paraId="698BC160" w14:textId="77777777" w:rsidTr="00492244">
        <w:tc>
          <w:tcPr>
            <w:cnfStyle w:val="001000000000" w:firstRow="0" w:lastRow="0" w:firstColumn="1" w:lastColumn="0" w:oddVBand="0" w:evenVBand="0" w:oddHBand="0" w:evenHBand="0" w:firstRowFirstColumn="0" w:firstRowLastColumn="0" w:lastRowFirstColumn="0" w:lastRowLastColumn="0"/>
            <w:tcW w:w="3135" w:type="dxa"/>
            <w:vAlign w:val="center"/>
          </w:tcPr>
          <w:p w14:paraId="2B5D2051" w14:textId="77777777" w:rsidR="004D42B8" w:rsidRPr="00511A36" w:rsidRDefault="004D42B8">
            <w:pPr>
              <w:rPr>
                <w:rFonts w:hint="eastAsia"/>
              </w:rPr>
            </w:pPr>
            <w:r w:rsidRPr="00511A36">
              <w:t>Summer P-PET 20-year Recurrence Interval</w:t>
            </w:r>
          </w:p>
        </w:tc>
        <w:tc>
          <w:tcPr>
            <w:tcW w:w="1377" w:type="dxa"/>
            <w:vAlign w:val="center"/>
          </w:tcPr>
          <w:p w14:paraId="2EAD9E8A"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-10.8±1.4</w:t>
            </w:r>
          </w:p>
        </w:tc>
        <w:tc>
          <w:tcPr>
            <w:tcW w:w="2413" w:type="dxa"/>
            <w:vAlign w:val="center"/>
          </w:tcPr>
          <w:p w14:paraId="55A7E92D"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 xml:space="preserve">-4.2±2.0 (39%); </w:t>
            </w:r>
            <w:r w:rsidRPr="00511A36">
              <w:rPr>
                <w:b/>
                <w:bCs/>
              </w:rPr>
              <w:t>6</w:t>
            </w:r>
          </w:p>
        </w:tc>
        <w:tc>
          <w:tcPr>
            <w:tcW w:w="2425" w:type="dxa"/>
            <w:vAlign w:val="center"/>
          </w:tcPr>
          <w:p w14:paraId="25A94368"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 xml:space="preserve">-7.4±3.6 (68%); </w:t>
            </w:r>
            <w:r w:rsidRPr="00511A36">
              <w:rPr>
                <w:b/>
                <w:bCs/>
              </w:rPr>
              <w:t>3.5</w:t>
            </w:r>
          </w:p>
        </w:tc>
      </w:tr>
      <w:tr w:rsidR="004D42B8" w:rsidRPr="00511A36" w14:paraId="4CBB4EC1" w14:textId="77777777" w:rsidTr="004922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5" w:type="dxa"/>
            <w:vAlign w:val="center"/>
          </w:tcPr>
          <w:p w14:paraId="31865C7D" w14:textId="77777777" w:rsidR="004D42B8" w:rsidRPr="00511A36" w:rsidRDefault="004D42B8">
            <w:pPr>
              <w:rPr>
                <w:rFonts w:hint="eastAsia"/>
              </w:rPr>
            </w:pPr>
            <w:r w:rsidRPr="00511A36">
              <w:t>Summer P-PET 50-year Recurrence Interval</w:t>
            </w:r>
          </w:p>
        </w:tc>
        <w:tc>
          <w:tcPr>
            <w:tcW w:w="1377" w:type="dxa"/>
            <w:vAlign w:val="center"/>
          </w:tcPr>
          <w:p w14:paraId="0A96EE5F"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-12.5±1.6</w:t>
            </w:r>
          </w:p>
        </w:tc>
        <w:tc>
          <w:tcPr>
            <w:tcW w:w="2413" w:type="dxa"/>
            <w:vAlign w:val="center"/>
          </w:tcPr>
          <w:p w14:paraId="5B436683"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-4.7±2.3 (37%); </w:t>
            </w:r>
            <w:r w:rsidRPr="00511A36">
              <w:rPr>
                <w:b/>
                <w:bCs/>
              </w:rPr>
              <w:t>11.5</w:t>
            </w:r>
          </w:p>
        </w:tc>
        <w:tc>
          <w:tcPr>
            <w:tcW w:w="2425" w:type="dxa"/>
            <w:vAlign w:val="center"/>
          </w:tcPr>
          <w:p w14:paraId="43C08BAD" w14:textId="77777777" w:rsidR="004D42B8" w:rsidRPr="00511A36" w:rsidRDefault="004D42B8" w:rsidP="00492244">
            <w:pPr>
              <w:spacing w:line="240" w:lineRule="auto"/>
              <w:jc w:val="center"/>
              <w:cnfStyle w:val="000000100000" w:firstRow="0" w:lastRow="0" w:firstColumn="0" w:lastColumn="0" w:oddVBand="0" w:evenVBand="0" w:oddHBand="1" w:evenHBand="0" w:firstRowFirstColumn="0" w:firstRowLastColumn="0" w:lastRowFirstColumn="0" w:lastRowLastColumn="0"/>
              <w:rPr>
                <w:rFonts w:hint="eastAsia"/>
              </w:rPr>
            </w:pPr>
            <w:r w:rsidRPr="00511A36">
              <w:t xml:space="preserve">-7.9±4.0 (63%); </w:t>
            </w:r>
            <w:r w:rsidRPr="00511A36">
              <w:rPr>
                <w:b/>
                <w:bCs/>
              </w:rPr>
              <w:t>5</w:t>
            </w:r>
          </w:p>
        </w:tc>
      </w:tr>
      <w:tr w:rsidR="004D42B8" w:rsidRPr="00511A36" w14:paraId="33DE589F" w14:textId="77777777" w:rsidTr="00492244">
        <w:tc>
          <w:tcPr>
            <w:cnfStyle w:val="001000000000" w:firstRow="0" w:lastRow="0" w:firstColumn="1" w:lastColumn="0" w:oddVBand="0" w:evenVBand="0" w:oddHBand="0" w:evenHBand="0" w:firstRowFirstColumn="0" w:firstRowLastColumn="0" w:lastRowFirstColumn="0" w:lastRowLastColumn="0"/>
            <w:tcW w:w="3135" w:type="dxa"/>
            <w:vAlign w:val="center"/>
          </w:tcPr>
          <w:p w14:paraId="48C912F6" w14:textId="77777777" w:rsidR="004D42B8" w:rsidRPr="00511A36" w:rsidRDefault="004D42B8">
            <w:pPr>
              <w:rPr>
                <w:rFonts w:hint="eastAsia"/>
              </w:rPr>
            </w:pPr>
            <w:r w:rsidRPr="00511A36">
              <w:t>Summer P-PET 100-year Recurrence Interval</w:t>
            </w:r>
          </w:p>
        </w:tc>
        <w:tc>
          <w:tcPr>
            <w:tcW w:w="1377" w:type="dxa"/>
            <w:vAlign w:val="center"/>
          </w:tcPr>
          <w:p w14:paraId="64E940D4"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-13.7±1.8</w:t>
            </w:r>
          </w:p>
        </w:tc>
        <w:tc>
          <w:tcPr>
            <w:tcW w:w="2413" w:type="dxa"/>
            <w:vAlign w:val="center"/>
          </w:tcPr>
          <w:p w14:paraId="63690092"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 xml:space="preserve">-5.0±2.5 (36%); </w:t>
            </w:r>
            <w:r w:rsidRPr="00511A36">
              <w:rPr>
                <w:b/>
                <w:bCs/>
              </w:rPr>
              <w:t>20</w:t>
            </w:r>
          </w:p>
        </w:tc>
        <w:tc>
          <w:tcPr>
            <w:tcW w:w="2425" w:type="dxa"/>
            <w:vAlign w:val="center"/>
          </w:tcPr>
          <w:p w14:paraId="4E47CF09" w14:textId="77777777" w:rsidR="004D42B8" w:rsidRPr="00511A36" w:rsidRDefault="004D42B8" w:rsidP="00492244">
            <w:pPr>
              <w:spacing w:line="240" w:lineRule="auto"/>
              <w:jc w:val="center"/>
              <w:cnfStyle w:val="000000000000" w:firstRow="0" w:lastRow="0" w:firstColumn="0" w:lastColumn="0" w:oddVBand="0" w:evenVBand="0" w:oddHBand="0" w:evenHBand="0" w:firstRowFirstColumn="0" w:firstRowLastColumn="0" w:lastRowFirstColumn="0" w:lastRowLastColumn="0"/>
              <w:rPr>
                <w:rFonts w:hint="eastAsia"/>
              </w:rPr>
            </w:pPr>
            <w:r w:rsidRPr="00511A36">
              <w:t xml:space="preserve">-8.3±4.2 (61%); </w:t>
            </w:r>
            <w:r w:rsidRPr="00511A36">
              <w:rPr>
                <w:b/>
                <w:bCs/>
              </w:rPr>
              <w:t>8</w:t>
            </w:r>
          </w:p>
        </w:tc>
      </w:tr>
    </w:tbl>
    <w:p w14:paraId="4FE4F01A" w14:textId="30050BC1" w:rsidR="00882200" w:rsidRPr="00511A36" w:rsidRDefault="004D42B8" w:rsidP="004D42B8">
      <w:pPr>
        <w:rPr>
          <w:rFonts w:hint="eastAsia"/>
        </w:rPr>
      </w:pPr>
      <w:r w:rsidRPr="00511A36">
        <w:rPr>
          <w:i/>
          <w:iCs/>
          <w:sz w:val="18"/>
          <w:szCs w:val="18"/>
        </w:rPr>
        <w:t xml:space="preserve">The percentage values in </w:t>
      </w:r>
      <w:r w:rsidR="00C932BA" w:rsidRPr="00511A36">
        <w:rPr>
          <w:i/>
          <w:iCs/>
          <w:sz w:val="18"/>
          <w:szCs w:val="18"/>
        </w:rPr>
        <w:t>parentheses indicate relative changes, where negative values reflect a decrease in potential water availability (annual) and positive values reflect an increase in water deficit (in summer); the values in bold font after the semicolon are future recurrence intervals</w:t>
      </w:r>
      <w:r w:rsidRPr="00511A36">
        <w:rPr>
          <w:i/>
          <w:iCs/>
          <w:sz w:val="18"/>
          <w:szCs w:val="18"/>
        </w:rPr>
        <w:t xml:space="preserve"> (in years) for reference threshold values. “N/A” indicates the lack of model consensus on the direction of changes over most of the state.</w:t>
      </w:r>
    </w:p>
    <w:p w14:paraId="6A02305C" w14:textId="18EFAF59" w:rsidR="00DB0DB6" w:rsidRDefault="00DB0DB6" w:rsidP="004D42B8">
      <w:pPr>
        <w:rPr>
          <w:rFonts w:hint="eastAsia"/>
        </w:rPr>
      </w:pPr>
      <w:r>
        <w:t xml:space="preserve">While summer droughts typically will have a greater impact than winter droughts, a </w:t>
      </w:r>
      <w:r w:rsidRPr="00DB0DB6">
        <w:t xml:space="preserve">winter drought may limit groundwater recharge and reservoir refilling, which may affect water availability the following spring and summer if conditions do not improve. </w:t>
      </w:r>
    </w:p>
    <w:p w14:paraId="7236F089" w14:textId="3E6BBCCF" w:rsidR="004D42B8" w:rsidRPr="00511A36" w:rsidRDefault="004D42B8" w:rsidP="004D42B8">
      <w:pPr>
        <w:rPr>
          <w:rFonts w:hint="eastAsia"/>
        </w:rPr>
      </w:pPr>
      <w:r w:rsidRPr="00511A36">
        <w:t xml:space="preserve">Models project </w:t>
      </w:r>
      <w:r w:rsidR="002E70B2">
        <w:t>increased</w:t>
      </w:r>
      <w:r w:rsidRPr="00511A36">
        <w:t xml:space="preserve"> drought severity and frequency in Connecticut. The potential water deficit during summer droughts with recurrence intervals of 10-, 20-, 50-, and 100-years </w:t>
      </w:r>
      <w:r w:rsidR="00C932BA" w:rsidRPr="00511A36">
        <w:t>is</w:t>
      </w:r>
      <w:r w:rsidRPr="00511A36">
        <w:t xml:space="preserve"> all projected to become significantly more severe. The </w:t>
      </w:r>
      <w:r w:rsidR="00412798" w:rsidRPr="00511A36">
        <w:t xml:space="preserve">frequency of drought is expected to increase faster than its </w:t>
      </w:r>
      <w:r w:rsidRPr="00511A36">
        <w:t xml:space="preserve">severity. </w:t>
      </w:r>
      <w:r w:rsidRPr="00843358">
        <w:t xml:space="preserve">For example, as shown in </w:t>
      </w:r>
      <w:r w:rsidR="00114274" w:rsidRPr="00843358">
        <w:fldChar w:fldCharType="begin" w:fldLock="1"/>
      </w:r>
      <w:r w:rsidR="00114274" w:rsidRPr="00843358">
        <w:instrText xml:space="preserve"> REF _Ref228888171 \h </w:instrText>
      </w:r>
      <w:r w:rsidR="005E43AE" w:rsidRPr="00843358">
        <w:instrText xml:space="preserve"> \* MERGEFORMAT </w:instrText>
      </w:r>
      <w:r w:rsidR="00114274" w:rsidRPr="00843358">
        <w:fldChar w:fldCharType="separate"/>
      </w:r>
      <w:r w:rsidR="00AB64CB">
        <w:t xml:space="preserve">Table </w:t>
      </w:r>
      <w:r w:rsidR="00AB64CB">
        <w:rPr>
          <w:noProof/>
        </w:rPr>
        <w:t>7</w:t>
      </w:r>
      <w:r w:rsidR="00114274" w:rsidRPr="00843358">
        <w:fldChar w:fldCharType="end"/>
      </w:r>
      <w:r w:rsidR="00412798" w:rsidRPr="00511A36">
        <w:t xml:space="preserve"> above</w:t>
      </w:r>
      <w:r w:rsidRPr="00511A36">
        <w:t xml:space="preserve">, it is estimated that a 20-year </w:t>
      </w:r>
      <w:r w:rsidR="0007287D">
        <w:t xml:space="preserve">summer </w:t>
      </w:r>
      <w:r w:rsidRPr="00511A36">
        <w:t>drought event</w:t>
      </w:r>
      <w:r w:rsidR="0030767A" w:rsidRPr="00511A36">
        <w:t xml:space="preserve"> that occurred in the late </w:t>
      </w:r>
      <w:r w:rsidR="002B68F9" w:rsidRPr="00511A36">
        <w:t>20</w:t>
      </w:r>
      <w:r w:rsidR="002B68F9" w:rsidRPr="00E412A8">
        <w:rPr>
          <w:vertAlign w:val="superscript"/>
        </w:rPr>
        <w:t>th</w:t>
      </w:r>
      <w:r w:rsidR="0030767A" w:rsidRPr="00511A36">
        <w:t xml:space="preserve"> century</w:t>
      </w:r>
      <w:r w:rsidR="00412798" w:rsidRPr="00511A36">
        <w:t xml:space="preserve"> may occur</w:t>
      </w:r>
      <w:r w:rsidRPr="00511A36">
        <w:t xml:space="preserve"> every 6 years by 2050 and every 3 to 4 years by 2100. </w:t>
      </w:r>
    </w:p>
    <w:p w14:paraId="17C825DE" w14:textId="4370CAD5" w:rsidR="00251807" w:rsidRDefault="00251807">
      <w:pPr>
        <w:pStyle w:val="Heading2"/>
        <w:rPr>
          <w:rFonts w:hint="eastAsia"/>
        </w:rPr>
      </w:pPr>
      <w:bookmarkStart w:id="62" w:name="_Toc233228231"/>
      <w:r w:rsidRPr="002508EE">
        <w:t xml:space="preserve">Key </w:t>
      </w:r>
      <w:r w:rsidR="00DA3823">
        <w:t>Planning Information for Drought</w:t>
      </w:r>
      <w:bookmarkEnd w:id="62"/>
    </w:p>
    <w:p w14:paraId="54E98E70" w14:textId="4EFF7668" w:rsidR="00DB33CF" w:rsidRDefault="00DB33CF" w:rsidP="00DB33CF">
      <w:pPr>
        <w:rPr>
          <w:rFonts w:hint="eastAsia"/>
        </w:rPr>
      </w:pPr>
      <w:r w:rsidRPr="00511A36">
        <w:t xml:space="preserve">Extreme heat intensification will lead to increasing issues with water availability, energy, and agriculture, among other sectors. This, in turn, will create worsening drought conditions. </w:t>
      </w:r>
    </w:p>
    <w:p w14:paraId="5B2E15B2" w14:textId="2163D875" w:rsidR="00250732" w:rsidRPr="00DB33CF" w:rsidRDefault="00250732" w:rsidP="00DB33CF">
      <w:pPr>
        <w:rPr>
          <w:rFonts w:hint="eastAsia"/>
        </w:rPr>
      </w:pPr>
      <w:r>
        <w:t xml:space="preserve">The following information can be used for </w:t>
      </w:r>
      <w:r w:rsidR="00D6472F">
        <w:t>planning:</w:t>
      </w:r>
    </w:p>
    <w:p w14:paraId="6357EDF8" w14:textId="77777777" w:rsidR="00B835A3" w:rsidRPr="00511A36" w:rsidRDefault="00B835A3" w:rsidP="00162924">
      <w:pPr>
        <w:pStyle w:val="ListParagraph"/>
        <w:numPr>
          <w:ilvl w:val="0"/>
          <w:numId w:val="96"/>
        </w:numPr>
        <w:rPr>
          <w:rFonts w:hint="eastAsia"/>
        </w:rPr>
      </w:pPr>
      <w:r w:rsidRPr="00511A36">
        <w:t xml:space="preserve">Present-day drought conditions can be viewed via the U.S. Drought Monitor. </w:t>
      </w:r>
    </w:p>
    <w:p w14:paraId="42D5F142" w14:textId="59222B1D" w:rsidR="00E3634B" w:rsidRPr="00511A36" w:rsidRDefault="007B2748" w:rsidP="00162924">
      <w:pPr>
        <w:pStyle w:val="ListParagraph"/>
        <w:numPr>
          <w:ilvl w:val="0"/>
          <w:numId w:val="96"/>
        </w:numPr>
        <w:rPr>
          <w:rFonts w:hint="eastAsia"/>
        </w:rPr>
      </w:pPr>
      <w:r w:rsidRPr="00511A36">
        <w:t>Most Connecticut communities believe that flash droughts will need more attention in the coming years.</w:t>
      </w:r>
    </w:p>
    <w:p w14:paraId="5B5F0979" w14:textId="77777777" w:rsidR="002B68F9" w:rsidRPr="00511A36" w:rsidRDefault="00F20534" w:rsidP="00162924">
      <w:pPr>
        <w:pStyle w:val="ListParagraph"/>
        <w:numPr>
          <w:ilvl w:val="0"/>
          <w:numId w:val="96"/>
        </w:numPr>
        <w:rPr>
          <w:rFonts w:hint="eastAsia"/>
        </w:rPr>
      </w:pPr>
      <w:r w:rsidRPr="00511A36">
        <w:t xml:space="preserve">The annual P-PET and summer P-PET, which can be defined as annual and summer precipitation minus potential evapotranspiration, both show a slight increasing trend in the early decades of the 21st century and a decrease afterward (indicating an increase in drought risk). </w:t>
      </w:r>
    </w:p>
    <w:p w14:paraId="7E1C9333" w14:textId="3916DD3F" w:rsidR="002B68F9" w:rsidRPr="00511A36" w:rsidRDefault="002B68F9" w:rsidP="00162924">
      <w:pPr>
        <w:pStyle w:val="ListParagraph"/>
        <w:numPr>
          <w:ilvl w:val="0"/>
          <w:numId w:val="96"/>
        </w:numPr>
        <w:rPr>
          <w:rFonts w:hint="eastAsia"/>
        </w:rPr>
      </w:pPr>
      <w:r w:rsidRPr="00511A36">
        <w:t>It is estimated that a 20-year drought event in the summer that occurred in the late 20</w:t>
      </w:r>
      <w:r w:rsidRPr="00E412A8">
        <w:rPr>
          <w:vertAlign w:val="superscript"/>
        </w:rPr>
        <w:t>th</w:t>
      </w:r>
      <w:r w:rsidRPr="00511A36">
        <w:t xml:space="preserve"> century may occur every 6 years by 2050 and every 3 to 4 years by 2100.</w:t>
      </w:r>
    </w:p>
    <w:p w14:paraId="1C020051" w14:textId="05D1443C" w:rsidR="00DA3823" w:rsidRDefault="00DA3823" w:rsidP="00DA3823">
      <w:pPr>
        <w:pStyle w:val="Heading2"/>
        <w:rPr>
          <w:rFonts w:hint="eastAsia"/>
        </w:rPr>
      </w:pPr>
      <w:bookmarkStart w:id="63" w:name="_Toc233228232"/>
      <w:r>
        <w:t>Identified Best Practices Related to Drought</w:t>
      </w:r>
      <w:bookmarkEnd w:id="63"/>
    </w:p>
    <w:p w14:paraId="5FCBBF3E" w14:textId="769F6BB1" w:rsidR="003A3506" w:rsidRPr="003A3506" w:rsidRDefault="003A3506" w:rsidP="00734799">
      <w:pPr>
        <w:rPr>
          <w:rFonts w:hint="eastAsia"/>
        </w:rPr>
      </w:pPr>
      <w:r>
        <w:t xml:space="preserve">WestCOG municipalities can follow several </w:t>
      </w:r>
      <w:r w:rsidR="008D756B">
        <w:t xml:space="preserve">best practices </w:t>
      </w:r>
      <w:r>
        <w:t>to mitigate the impacts of drought, including:</w:t>
      </w:r>
    </w:p>
    <w:p w14:paraId="3CBC9217" w14:textId="0EDCDA4B" w:rsidR="00882200" w:rsidRPr="00511A36" w:rsidRDefault="00190852" w:rsidP="00162924">
      <w:pPr>
        <w:pStyle w:val="ListParagraph"/>
        <w:numPr>
          <w:ilvl w:val="0"/>
          <w:numId w:val="97"/>
        </w:numPr>
        <w:rPr>
          <w:rFonts w:hint="eastAsia"/>
        </w:rPr>
      </w:pPr>
      <w:r>
        <w:rPr>
          <w:b/>
          <w:bCs/>
        </w:rPr>
        <w:t xml:space="preserve">Drought Preparedness: </w:t>
      </w:r>
      <w:r w:rsidR="004C097D">
        <w:t xml:space="preserve">Follow the 2022 </w:t>
      </w:r>
      <w:r w:rsidR="00880CF9">
        <w:t>CT Drought Preparedness and Response Plan</w:t>
      </w:r>
      <w:r w:rsidR="00514957">
        <w:t xml:space="preserve"> and </w:t>
      </w:r>
      <w:r w:rsidR="000F113B">
        <w:t>subsequent</w:t>
      </w:r>
      <w:r w:rsidR="00514957">
        <w:t xml:space="preserve"> </w:t>
      </w:r>
      <w:r w:rsidR="00384CB2">
        <w:t>after-action</w:t>
      </w:r>
      <w:r w:rsidR="00514957">
        <w:t xml:space="preserve"> reports</w:t>
      </w:r>
      <w:r w:rsidR="000F113B">
        <w:t xml:space="preserve"> for additional guidance</w:t>
      </w:r>
    </w:p>
    <w:p w14:paraId="6DD23F0F" w14:textId="3CB19AB7" w:rsidR="00AE15C6" w:rsidRDefault="00190852" w:rsidP="00162924">
      <w:pPr>
        <w:pStyle w:val="ListParagraph"/>
        <w:numPr>
          <w:ilvl w:val="0"/>
          <w:numId w:val="97"/>
        </w:numPr>
        <w:rPr>
          <w:rFonts w:hint="eastAsia"/>
        </w:rPr>
      </w:pPr>
      <w:r>
        <w:rPr>
          <w:b/>
          <w:bCs/>
        </w:rPr>
        <w:t xml:space="preserve">Water Conservation: </w:t>
      </w:r>
      <w:r w:rsidR="00AC7E5B" w:rsidRPr="00AC7E5B">
        <w:t>Each major public water supplier must prepare a water supply plan that indicates ongoing water conservation actions as well as an emergency contingency planning component.</w:t>
      </w:r>
    </w:p>
    <w:p w14:paraId="2E14EECE" w14:textId="07AE3532" w:rsidR="00FC05A1" w:rsidRDefault="00190852" w:rsidP="00162924">
      <w:pPr>
        <w:pStyle w:val="ListParagraph"/>
        <w:numPr>
          <w:ilvl w:val="0"/>
          <w:numId w:val="97"/>
        </w:numPr>
        <w:rPr>
          <w:rFonts w:hint="eastAsia"/>
        </w:rPr>
      </w:pPr>
      <w:r w:rsidRPr="00734799">
        <w:rPr>
          <w:b/>
          <w:bCs/>
        </w:rPr>
        <w:t>Public Outreach and Education:</w:t>
      </w:r>
      <w:r>
        <w:t xml:space="preserve"> </w:t>
      </w:r>
      <w:r w:rsidR="00FC05A1" w:rsidRPr="00FC05A1">
        <w:t xml:space="preserve">Public outreach and education are critical components of long-term drought preparedness. Education should include discussion of best management practices (BMPs) for various industries and for homeowners. </w:t>
      </w:r>
    </w:p>
    <w:p w14:paraId="0026A687" w14:textId="77777777" w:rsidR="00384CB2" w:rsidRPr="002508EE" w:rsidRDefault="00384CB2" w:rsidP="00384CB2">
      <w:pPr>
        <w:rPr>
          <w:rFonts w:hint="eastAsia"/>
        </w:rPr>
      </w:pPr>
    </w:p>
    <w:p w14:paraId="26355678" w14:textId="77777777" w:rsidR="00055458" w:rsidRDefault="00055458">
      <w:pPr>
        <w:spacing w:line="259" w:lineRule="auto"/>
        <w:rPr>
          <w:rFonts w:asciiTheme="majorHAnsi" w:eastAsiaTheme="majorEastAsia" w:hAnsiTheme="majorHAnsi" w:cstheme="majorBidi" w:hint="eastAsia"/>
          <w:b/>
          <w:color w:val="4970B7" w:themeColor="accent3"/>
          <w:sz w:val="48"/>
          <w:szCs w:val="32"/>
        </w:rPr>
      </w:pPr>
      <w:r>
        <w:br w:type="page"/>
      </w:r>
    </w:p>
    <w:p w14:paraId="40B6B5B9" w14:textId="6541BE7B" w:rsidR="004D42B8" w:rsidRDefault="004D42B8">
      <w:pPr>
        <w:pStyle w:val="Heading1"/>
        <w:rPr>
          <w:rFonts w:hint="eastAsia"/>
        </w:rPr>
      </w:pPr>
      <w:bookmarkStart w:id="64" w:name="_Toc233228233"/>
      <w:r w:rsidRPr="00511A36">
        <w:t>Wildfire</w:t>
      </w:r>
      <w:bookmarkEnd w:id="64"/>
    </w:p>
    <w:p w14:paraId="3C666116" w14:textId="5AA3967F" w:rsidR="004D42B8" w:rsidRPr="00511A36" w:rsidRDefault="004D42B8" w:rsidP="004D42B8">
      <w:pPr>
        <w:rPr>
          <w:rFonts w:hint="eastAsia"/>
        </w:rPr>
      </w:pPr>
      <w:r w:rsidRPr="00511A36">
        <w:t>Wildfire, the</w:t>
      </w:r>
      <w:r w:rsidR="00057572">
        <w:t xml:space="preserve"> uncontrolled</w:t>
      </w:r>
      <w:r w:rsidRPr="00511A36">
        <w:t xml:space="preserve"> burning of vegetation across natural or semi-natural landscapes, has historically been a low-frequency hazard in the northeastern United States relative to other regions in the country. </w:t>
      </w:r>
      <w:r w:rsidR="00F46117">
        <w:t>Ac</w:t>
      </w:r>
      <w:r w:rsidR="00353E97">
        <w:t>cording to NOAA SPC, the annual probability (1992</w:t>
      </w:r>
      <w:r w:rsidR="003D0263">
        <w:t xml:space="preserve">-2020) of a wildfire spanning more than 100 acres is 6.9% for coastal areas of WestCOG, versus 31.03% for inland areas. </w:t>
      </w:r>
      <w:r w:rsidRPr="00511A36">
        <w:t>However, a combination of climate-driven changes in temperature, drought frequency, forest composition, and fuel accumulation is elevating wildfire risk across Connecticut.</w:t>
      </w:r>
      <w:r w:rsidR="0067101B" w:rsidRPr="00511A36">
        <w:t xml:space="preserve"> </w:t>
      </w:r>
    </w:p>
    <w:p w14:paraId="3EA74B87" w14:textId="03B17BE6" w:rsidR="004D42B8" w:rsidRPr="00511A36" w:rsidRDefault="004D42B8" w:rsidP="004D42B8">
      <w:pPr>
        <w:rPr>
          <w:rFonts w:hint="eastAsia"/>
        </w:rPr>
      </w:pPr>
      <w:r w:rsidRPr="00511A36">
        <w:t xml:space="preserve">An indicator of where </w:t>
      </w:r>
      <w:r w:rsidR="00412798" w:rsidRPr="00511A36">
        <w:t>wildfire impacts are more likely</w:t>
      </w:r>
      <w:r w:rsidRPr="00511A36">
        <w:t xml:space="preserve"> is the 2020 WUI areas</w:t>
      </w:r>
      <w:r w:rsidR="004F1787">
        <w:t xml:space="preserve">. </w:t>
      </w:r>
      <w:r w:rsidRPr="00511A36">
        <w:t xml:space="preserve">WUI areas are where houses and other development meet or mix with undeveloped natural areas. They are areas of transition and change. When housing expands </w:t>
      </w:r>
      <w:r w:rsidR="00412798" w:rsidRPr="00511A36">
        <w:t>near forests and undeveloped land, more houses and people are at risk of wildfire, and wildfire management becomes more complex</w:t>
      </w:r>
      <w:r w:rsidRPr="00511A36">
        <w:t>.</w:t>
      </w:r>
      <w:r w:rsidRPr="00511A36">
        <w:rPr>
          <w:rStyle w:val="FootnoteReference"/>
        </w:rPr>
        <w:footnoteReference w:id="22"/>
      </w:r>
      <w:r w:rsidR="00E400B8">
        <w:t xml:space="preserve"> A map of </w:t>
      </w:r>
      <w:r w:rsidRPr="00511A36">
        <w:t>the WUI in WestCOG</w:t>
      </w:r>
      <w:r w:rsidR="00CD3F8E">
        <w:t>,</w:t>
      </w:r>
      <w:r w:rsidRPr="00511A36">
        <w:t xml:space="preserve"> along with housing density levels </w:t>
      </w:r>
      <w:r w:rsidR="003D1917" w:rsidRPr="00511A36">
        <w:t>in</w:t>
      </w:r>
      <w:r w:rsidRPr="00511A36">
        <w:t xml:space="preserve"> </w:t>
      </w:r>
      <w:r w:rsidR="003D1917" w:rsidRPr="00511A36">
        <w:t>non-WUI</w:t>
      </w:r>
      <w:r w:rsidRPr="00511A36">
        <w:t xml:space="preserve"> areas</w:t>
      </w:r>
      <w:r w:rsidR="00E400B8">
        <w:t xml:space="preserve"> can be found in </w:t>
      </w:r>
      <w:r w:rsidR="00E400B8" w:rsidRPr="00843358">
        <w:fldChar w:fldCharType="begin" w:fldLock="1"/>
      </w:r>
      <w:r w:rsidR="00E400B8" w:rsidRPr="00843358">
        <w:instrText xml:space="preserve"> REF _Ref228512228 \h </w:instrText>
      </w:r>
      <w:r w:rsidR="005E43AE" w:rsidRPr="00843358">
        <w:instrText xml:space="preserve"> \* MERGEFORMAT </w:instrText>
      </w:r>
      <w:r w:rsidR="00E400B8" w:rsidRPr="00843358">
        <w:fldChar w:fldCharType="separate"/>
      </w:r>
      <w:r w:rsidR="00AB64CB" w:rsidRPr="002508EE">
        <w:rPr>
          <w:rFonts w:eastAsia="Arial"/>
        </w:rPr>
        <w:t>Appendix A: Maps</w:t>
      </w:r>
      <w:r w:rsidR="00E400B8" w:rsidRPr="00843358">
        <w:fldChar w:fldCharType="end"/>
      </w:r>
      <w:r w:rsidRPr="00843358">
        <w:t>.</w:t>
      </w:r>
      <w:r w:rsidRPr="00511A36">
        <w:t xml:space="preserve"> There are two zones in the WUI</w:t>
      </w:r>
      <w:r w:rsidR="00412798" w:rsidRPr="00511A36">
        <w:t>:</w:t>
      </w:r>
      <w:r w:rsidRPr="00511A36">
        <w:t xml:space="preserve"> the interface zone and the intermix zone. The interface zone is an area of high-density development adjacent to undeveloped wildland vegetation. The intermix zone is an area of lower-density housing mingled with undeveloped wildland vegetation. </w:t>
      </w:r>
    </w:p>
    <w:p w14:paraId="448222B3" w14:textId="2D575A44" w:rsidR="004D42B8" w:rsidRPr="00511A36" w:rsidRDefault="004D42B8" w:rsidP="004D42B8">
      <w:pPr>
        <w:rPr>
          <w:rFonts w:hint="eastAsia"/>
        </w:rPr>
      </w:pPr>
      <w:r w:rsidRPr="00511A36">
        <w:t xml:space="preserve">The majority of WestCOG </w:t>
      </w:r>
      <w:r w:rsidR="005D5ECF">
        <w:t>consists</w:t>
      </w:r>
      <w:r w:rsidRPr="00511A36">
        <w:t xml:space="preserve"> of the Intermix zone</w:t>
      </w:r>
      <w:r w:rsidR="00D5081D" w:rsidRPr="00511A36">
        <w:t>,</w:t>
      </w:r>
      <w:r w:rsidRPr="00511A36">
        <w:t xml:space="preserve"> </w:t>
      </w:r>
      <w:r w:rsidR="005D5ECF">
        <w:t>with</w:t>
      </w:r>
      <w:r w:rsidRPr="00511A36">
        <w:t xml:space="preserve"> a lot of low-density housing </w:t>
      </w:r>
      <w:r w:rsidR="00D5081D" w:rsidRPr="00511A36">
        <w:t xml:space="preserve">interspersed </w:t>
      </w:r>
      <w:r w:rsidRPr="00511A36">
        <w:t>with undeveloped wildland vegetation. Coastal WestCOG is the exception</w:t>
      </w:r>
      <w:r w:rsidR="00D5081D" w:rsidRPr="00511A36">
        <w:t>,</w:t>
      </w:r>
      <w:r w:rsidRPr="00511A36">
        <w:t xml:space="preserve"> as </w:t>
      </w:r>
      <w:r w:rsidR="00CD3F8E">
        <w:t>most</w:t>
      </w:r>
      <w:r w:rsidRPr="00511A36">
        <w:t xml:space="preserve"> of the </w:t>
      </w:r>
      <w:proofErr w:type="gramStart"/>
      <w:r w:rsidRPr="00511A36">
        <w:t>coast is</w:t>
      </w:r>
      <w:proofErr w:type="gramEnd"/>
      <w:r w:rsidRPr="00511A36">
        <w:t xml:space="preserve"> not as susceptible to wildfire. </w:t>
      </w:r>
    </w:p>
    <w:p w14:paraId="4F7A0DD6" w14:textId="189FBA7B" w:rsidR="004D42B8" w:rsidRPr="00511A36" w:rsidRDefault="004D42B8" w:rsidP="004D42B8">
      <w:pPr>
        <w:rPr>
          <w:rFonts w:hint="eastAsia"/>
        </w:rPr>
      </w:pPr>
      <w:r w:rsidRPr="00511A36">
        <w:t>Over the past several years, the state has faced a steady rise in brush fires, fueled by declining forest health and a warming climate that has brought more frequent drought conditions and higher temperatures. For example, in the fall of 2024, Connecticut saw a record 605 wildfires, which burned more than 500 acres and prompted a statewide emergency declaration, a temporary burn ban, and multi</w:t>
      </w:r>
      <w:r w:rsidRPr="00511A36">
        <w:noBreakHyphen/>
        <w:t>agency firefighting support.</w:t>
      </w:r>
      <w:r w:rsidRPr="00511A36">
        <w:rPr>
          <w:rStyle w:val="FootnoteReference"/>
        </w:rPr>
        <w:footnoteReference w:id="23"/>
      </w:r>
    </w:p>
    <w:p w14:paraId="1871984C" w14:textId="77777777" w:rsidR="004D42B8" w:rsidRPr="00511A36" w:rsidRDefault="004D42B8" w:rsidP="004D42B8">
      <w:pPr>
        <w:rPr>
          <w:rFonts w:hint="eastAsia"/>
        </w:rPr>
      </w:pPr>
      <w:r w:rsidRPr="00511A36">
        <w:t xml:space="preserve">Wildfires can lead to death, injury and the destruction of property. As the number of acres burned from wildfire has increased, so has the amount of smoke emitted, increasing the extent of the population of WestCOG exposed to smoke. Smoke contributes to poor air quality in communities both near and far from wildfire as smoke can travel hundreds to thousands of miles. The smoke from wildfires </w:t>
      </w:r>
      <w:proofErr w:type="gramStart"/>
      <w:r w:rsidRPr="00511A36">
        <w:t>are</w:t>
      </w:r>
      <w:proofErr w:type="gramEnd"/>
      <w:r w:rsidRPr="00511A36">
        <w:t xml:space="preserve"> associated with a range of health effects, from coughing to the exacerbation of more serious respiratory and cardiovascular diseases. </w:t>
      </w:r>
    </w:p>
    <w:p w14:paraId="58EC4F02" w14:textId="77777777" w:rsidR="004D42B8" w:rsidRPr="00511A36" w:rsidRDefault="004D42B8" w:rsidP="004D42B8">
      <w:pPr>
        <w:rPr>
          <w:rFonts w:hint="eastAsia"/>
        </w:rPr>
      </w:pPr>
      <w:r w:rsidRPr="00706D56">
        <w:t>In the aftermath, burned areas are prone to flooding and erosion.</w:t>
      </w:r>
      <w:r w:rsidRPr="00511A36">
        <w:t xml:space="preserve"> Ash and contaminants from smoke can settle in water reservoirs, streams, and lakes, and pollute drinking water and aquatic ecosystems.</w:t>
      </w:r>
    </w:p>
    <w:p w14:paraId="086A4286" w14:textId="78A33D73" w:rsidR="00970579" w:rsidRDefault="00DA3823">
      <w:pPr>
        <w:pStyle w:val="Heading2"/>
        <w:rPr>
          <w:rFonts w:hint="eastAsia"/>
        </w:rPr>
      </w:pPr>
      <w:bookmarkStart w:id="65" w:name="_Toc233228234"/>
      <w:r>
        <w:t>Key Planning Information for Wildfire</w:t>
      </w:r>
      <w:bookmarkEnd w:id="65"/>
    </w:p>
    <w:p w14:paraId="1EBCA73B" w14:textId="3FA03D19" w:rsidR="00D6472F" w:rsidRPr="00D6472F" w:rsidRDefault="00D6472F" w:rsidP="00D6472F">
      <w:pPr>
        <w:rPr>
          <w:rFonts w:hint="eastAsia"/>
        </w:rPr>
      </w:pPr>
      <w:r w:rsidRPr="00511A36">
        <w:t>Wildfire affects most of the region. A large portion of WestCOG is composed of the more susceptible intermix zone in the WUI, where undeveloped land and housing coincide. The coastal areas of WestCOG are at a lower risk to wildfire.</w:t>
      </w:r>
    </w:p>
    <w:p w14:paraId="495A8FB6" w14:textId="249D990F" w:rsidR="00555426" w:rsidRDefault="00B835A3" w:rsidP="00162924">
      <w:pPr>
        <w:pStyle w:val="ListParagraph"/>
        <w:numPr>
          <w:ilvl w:val="0"/>
          <w:numId w:val="98"/>
        </w:numPr>
        <w:rPr>
          <w:rFonts w:hint="eastAsia"/>
        </w:rPr>
      </w:pPr>
      <w:r w:rsidRPr="00511A36">
        <w:t xml:space="preserve">The WUI can be used for </w:t>
      </w:r>
      <w:r w:rsidR="004F2121" w:rsidRPr="00511A36">
        <w:t xml:space="preserve">baseline current condition planning considerations. WestCOG has a significant portion of its area that is low-density housing interspersed with undeveloped wildland vegetation (the intermix zone of the WUI) and is vulnerable to wildfire. </w:t>
      </w:r>
    </w:p>
    <w:p w14:paraId="34119A34" w14:textId="33B1DC3B" w:rsidR="00E43610" w:rsidRPr="00555426" w:rsidRDefault="00E43610" w:rsidP="00162924">
      <w:pPr>
        <w:pStyle w:val="ListParagraph"/>
        <w:numPr>
          <w:ilvl w:val="0"/>
          <w:numId w:val="98"/>
        </w:numPr>
        <w:rPr>
          <w:rFonts w:hint="eastAsia"/>
        </w:rPr>
      </w:pPr>
      <w:r w:rsidRPr="00555426">
        <w:rPr>
          <w:rFonts w:ascii="Arial" w:eastAsia="Times New Roman" w:hAnsi="Arial" w:cs="Arial"/>
          <w:color w:val="262936"/>
          <w:lang w:eastAsia="en-US"/>
        </w:rPr>
        <w:t>Wildfire causes rippling effects like damaged habitat, degraded air quality causing health impacts, and drinking water supply contamination.</w:t>
      </w:r>
    </w:p>
    <w:p w14:paraId="7D92EBBA" w14:textId="3A31C09F" w:rsidR="00970579" w:rsidRPr="00511A36" w:rsidRDefault="00DA04B1" w:rsidP="00162924">
      <w:pPr>
        <w:pStyle w:val="ListParagraph"/>
        <w:numPr>
          <w:ilvl w:val="0"/>
          <w:numId w:val="98"/>
        </w:numPr>
        <w:rPr>
          <w:rFonts w:hint="eastAsia"/>
        </w:rPr>
      </w:pPr>
      <w:r w:rsidRPr="00511A36">
        <w:t>Over the past several years, the state has faced a steady rise in brush fires, fueled by declining forest health and a warming climate that has brought more frequent drought conditions and higher temperatures.</w:t>
      </w:r>
    </w:p>
    <w:p w14:paraId="75CA8B8C" w14:textId="7B9F3A84" w:rsidR="00882200" w:rsidRPr="00511A36" w:rsidRDefault="00DA3823">
      <w:pPr>
        <w:pStyle w:val="Heading2"/>
        <w:rPr>
          <w:rFonts w:hint="eastAsia"/>
        </w:rPr>
      </w:pPr>
      <w:bookmarkStart w:id="66" w:name="_Toc233228235"/>
      <w:r>
        <w:t>Identified Best Practices Related to Wildfire</w:t>
      </w:r>
      <w:bookmarkEnd w:id="66"/>
    </w:p>
    <w:p w14:paraId="204C6816" w14:textId="11FB87F9" w:rsidR="008D756B" w:rsidRPr="008D756B" w:rsidRDefault="008D756B" w:rsidP="008D756B">
      <w:pPr>
        <w:rPr>
          <w:rFonts w:hint="eastAsia"/>
        </w:rPr>
      </w:pPr>
      <w:r>
        <w:t>WestCOG municipalities can follow several best practices to mitigate the impacts of wildfire, including:</w:t>
      </w:r>
    </w:p>
    <w:p w14:paraId="09DAE943" w14:textId="571D4EE5" w:rsidR="00EF4ED0" w:rsidRPr="00EF4ED0" w:rsidRDefault="00264BBF" w:rsidP="00162924">
      <w:pPr>
        <w:pStyle w:val="ListParagraph"/>
        <w:numPr>
          <w:ilvl w:val="0"/>
          <w:numId w:val="99"/>
        </w:numPr>
        <w:rPr>
          <w:rFonts w:hint="eastAsia"/>
        </w:rPr>
      </w:pPr>
      <w:r>
        <w:rPr>
          <w:b/>
          <w:bCs/>
        </w:rPr>
        <w:t xml:space="preserve">Zoning, Building Codes, and Landscape Management: </w:t>
      </w:r>
      <w:r w:rsidR="00EF4ED0" w:rsidRPr="00EF4ED0">
        <w:t>WUI Code and community wildfire protection plans encourage land conservation in the WUI and dense development in areas with less risk. Zoning and building code policies can also space homes to create barriers to stop wildfire from spreading and encourage use of fire-resistant building materials.</w:t>
      </w:r>
    </w:p>
    <w:p w14:paraId="08B4D3A4" w14:textId="5B969E16" w:rsidR="009D0EAD" w:rsidRPr="002F3C04" w:rsidRDefault="002F3C04" w:rsidP="00162924">
      <w:pPr>
        <w:pStyle w:val="ListParagraph"/>
        <w:numPr>
          <w:ilvl w:val="0"/>
          <w:numId w:val="99"/>
        </w:numPr>
        <w:rPr>
          <w:rFonts w:hint="eastAsia"/>
        </w:rPr>
      </w:pPr>
      <w:r w:rsidRPr="00734799">
        <w:rPr>
          <w:b/>
          <w:bCs/>
        </w:rPr>
        <w:t>Vegetation Management and Forest Restoration:</w:t>
      </w:r>
      <w:r w:rsidRPr="002F3C04">
        <w:t xml:space="preserve"> </w:t>
      </w:r>
      <w:r w:rsidR="003F7452">
        <w:t xml:space="preserve">Practices such as thinning and prescribed burns </w:t>
      </w:r>
      <w:r w:rsidR="009D0EAD">
        <w:t xml:space="preserve">have shown large reductions in wildfire intensity. </w:t>
      </w:r>
    </w:p>
    <w:p w14:paraId="48C31177" w14:textId="25A82B95" w:rsidR="004D42B8" w:rsidRPr="00734799" w:rsidRDefault="008B23D6" w:rsidP="00162924">
      <w:pPr>
        <w:pStyle w:val="ListParagraph"/>
        <w:numPr>
          <w:ilvl w:val="0"/>
          <w:numId w:val="99"/>
        </w:numPr>
        <w:rPr>
          <w:rFonts w:hint="eastAsia"/>
          <w:b/>
        </w:rPr>
      </w:pPr>
      <w:r w:rsidRPr="00734799">
        <w:rPr>
          <w:b/>
          <w:bCs/>
        </w:rPr>
        <w:t>Public Education and Preparedness</w:t>
      </w:r>
      <w:r>
        <w:rPr>
          <w:b/>
          <w:bCs/>
        </w:rPr>
        <w:t xml:space="preserve">: </w:t>
      </w:r>
      <w:r w:rsidR="007072AF" w:rsidRPr="00734799">
        <w:t>Greater frequency of wildfire and longer wildfire seasons add to the importance of public safety officials regularly communicating with residents to encourage household</w:t>
      </w:r>
      <w:r w:rsidR="007072AF">
        <w:t xml:space="preserve"> </w:t>
      </w:r>
      <w:r w:rsidR="007072AF" w:rsidRPr="00734799">
        <w:t xml:space="preserve">or business-level risk mitigation, build public support for public wildfire risk management, and </w:t>
      </w:r>
      <w:proofErr w:type="gramStart"/>
      <w:r w:rsidR="007072AF" w:rsidRPr="00734799">
        <w:t>to inform</w:t>
      </w:r>
      <w:proofErr w:type="gramEnd"/>
      <w:r w:rsidR="007072AF" w:rsidRPr="00734799">
        <w:t xml:space="preserve"> residents about </w:t>
      </w:r>
      <w:r w:rsidR="007072AF">
        <w:t>wildfire preparedness</w:t>
      </w:r>
      <w:r w:rsidR="007072AF" w:rsidRPr="00734799">
        <w:t>.</w:t>
      </w:r>
      <w:r w:rsidR="007072AF" w:rsidRPr="007072AF">
        <w:rPr>
          <w:b/>
          <w:bCs/>
        </w:rPr>
        <w:t xml:space="preserve"> </w:t>
      </w:r>
    </w:p>
    <w:p w14:paraId="0F71FD68" w14:textId="77777777" w:rsidR="007072AF" w:rsidRDefault="007072AF">
      <w:pPr>
        <w:spacing w:line="259" w:lineRule="auto"/>
        <w:rPr>
          <w:rFonts w:asciiTheme="majorHAnsi" w:eastAsiaTheme="majorEastAsia" w:hAnsiTheme="majorHAnsi" w:cstheme="majorBidi" w:hint="eastAsia"/>
          <w:b/>
          <w:color w:val="FFFFFF" w:themeColor="background2"/>
          <w:sz w:val="28"/>
          <w:szCs w:val="32"/>
        </w:rPr>
      </w:pPr>
      <w:r>
        <w:br w:type="page"/>
      </w:r>
    </w:p>
    <w:p w14:paraId="35AF8771" w14:textId="77777777" w:rsidR="004D42B8" w:rsidRPr="00511A36" w:rsidRDefault="004D42B8" w:rsidP="00882200">
      <w:pPr>
        <w:pStyle w:val="Heading1"/>
        <w:rPr>
          <w:rFonts w:hint="eastAsia"/>
        </w:rPr>
      </w:pPr>
      <w:bookmarkStart w:id="67" w:name="_Toc233228236"/>
      <w:r w:rsidRPr="00511A36">
        <w:t>References</w:t>
      </w:r>
      <w:bookmarkEnd w:id="67"/>
    </w:p>
    <w:p w14:paraId="29EBCF52" w14:textId="77777777" w:rsidR="004D42B8" w:rsidRPr="00511A36" w:rsidRDefault="004D42B8" w:rsidP="004D42B8">
      <w:pPr>
        <w:rPr>
          <w:rFonts w:eastAsia="Aptos" w:cstheme="minorHAnsi"/>
        </w:rPr>
      </w:pPr>
      <w:r w:rsidRPr="00511A36">
        <w:rPr>
          <w:rFonts w:cstheme="minorHAnsi"/>
        </w:rPr>
        <w:t xml:space="preserve">Connecticut State Climate Summaries, </w:t>
      </w:r>
      <w:hyperlink r:id="rId33" w:history="1">
        <w:r w:rsidRPr="00511A36">
          <w:rPr>
            <w:rStyle w:val="Hyperlink"/>
            <w:rFonts w:cstheme="minorHAnsi"/>
          </w:rPr>
          <w:t>https://statesummaries.ncics.org/chapter/ct/</w:t>
        </w:r>
      </w:hyperlink>
    </w:p>
    <w:p w14:paraId="567D4B63" w14:textId="385C4AB2" w:rsidR="004D42B8" w:rsidRPr="00511A36" w:rsidRDefault="004D42B8" w:rsidP="004D42B8">
      <w:pPr>
        <w:rPr>
          <w:rFonts w:eastAsia="Aptos" w:cstheme="minorHAnsi"/>
        </w:rPr>
      </w:pPr>
      <w:r w:rsidRPr="00511A36">
        <w:rPr>
          <w:rFonts w:cstheme="minorHAnsi"/>
        </w:rPr>
        <w:t xml:space="preserve">Connecticut Natural Hazard Mitigation Plan, 2023, </w:t>
      </w:r>
      <w:hyperlink r:id="rId34">
        <w:r w:rsidRPr="00511A36">
          <w:rPr>
            <w:rStyle w:val="Hyperlink"/>
            <w:rFonts w:eastAsia="Aptos" w:cstheme="minorHAnsi"/>
          </w:rPr>
          <w:t>ehsp0024---2023-natural-hazard-mitigation-plan---final.pdf</w:t>
        </w:r>
      </w:hyperlink>
      <w:r w:rsidRPr="00511A36">
        <w:rPr>
          <w:rFonts w:cstheme="minorHAnsi"/>
        </w:rPr>
        <w:t xml:space="preserve">FEMA Hazus Software, </w:t>
      </w:r>
      <w:hyperlink r:id="rId35">
        <w:r w:rsidRPr="00511A36">
          <w:rPr>
            <w:rStyle w:val="Hyperlink"/>
            <w:rFonts w:cstheme="minorHAnsi"/>
          </w:rPr>
          <w:t>https://www.fema.gov/flood-maps/products-tools/hazus</w:t>
        </w:r>
      </w:hyperlink>
    </w:p>
    <w:p w14:paraId="1FC20390" w14:textId="77777777" w:rsidR="004D42B8" w:rsidRPr="00511A36" w:rsidRDefault="004D42B8" w:rsidP="004D42B8">
      <w:pPr>
        <w:rPr>
          <w:rFonts w:eastAsia="Aptos" w:cstheme="minorHAnsi"/>
        </w:rPr>
      </w:pPr>
      <w:r w:rsidRPr="00511A36">
        <w:rPr>
          <w:rFonts w:cstheme="minorHAnsi"/>
        </w:rPr>
        <w:t>FEMA Map Service Center, https://msc.fema.gov/portal/advanceSearch</w:t>
      </w:r>
    </w:p>
    <w:p w14:paraId="710F62AF" w14:textId="77777777" w:rsidR="004D42B8" w:rsidRPr="00511A36" w:rsidRDefault="004D42B8" w:rsidP="004D42B8">
      <w:pPr>
        <w:rPr>
          <w:rFonts w:eastAsia="Aptos" w:cstheme="minorHAnsi"/>
        </w:rPr>
      </w:pPr>
      <w:r w:rsidRPr="00511A36">
        <w:rPr>
          <w:rFonts w:cstheme="minorHAnsi"/>
        </w:rPr>
        <w:t xml:space="preserve">NOAA Atlas 14 Volume 10 Precipitation-Frequency Atlas of the United States, Northeastern States, </w:t>
      </w:r>
      <w:hyperlink r:id="rId36" w:history="1">
        <w:r w:rsidRPr="00511A36">
          <w:rPr>
            <w:rStyle w:val="Hyperlink"/>
            <w:rFonts w:cstheme="minorHAnsi"/>
          </w:rPr>
          <w:t xml:space="preserve">https://www.weather.gov/media/owp/oh/hdsc/docs/Atlas14_Volume10.pdf </w:t>
        </w:r>
      </w:hyperlink>
    </w:p>
    <w:p w14:paraId="7649B654" w14:textId="77777777" w:rsidR="004D42B8" w:rsidRPr="00511A36" w:rsidRDefault="004D42B8" w:rsidP="004D42B8">
      <w:pPr>
        <w:rPr>
          <w:rFonts w:eastAsia="Aptos" w:cstheme="minorHAnsi"/>
        </w:rPr>
      </w:pPr>
      <w:r w:rsidRPr="00511A36">
        <w:rPr>
          <w:rFonts w:eastAsia="Aptos" w:cstheme="minorHAnsi"/>
        </w:rPr>
        <w:t>NOAA's International Best Track Archive for Climate Stewardship (IBTrACS) data, accessed on Accessed 04/15/2026</w:t>
      </w:r>
    </w:p>
    <w:p w14:paraId="04E49DF2" w14:textId="77777777" w:rsidR="004D42B8" w:rsidRPr="00511A36" w:rsidRDefault="004D42B8" w:rsidP="004D42B8">
      <w:pPr>
        <w:rPr>
          <w:rFonts w:eastAsia="Aptos" w:cstheme="minorHAnsi"/>
        </w:rPr>
      </w:pPr>
      <w:r w:rsidRPr="00511A36">
        <w:rPr>
          <w:rFonts w:eastAsia="Aptos" w:cstheme="minorHAnsi"/>
        </w:rPr>
        <w:t xml:space="preserve">NOAA Storm Prediction Center (SPC) Tornado Database, </w:t>
      </w:r>
      <w:hyperlink r:id="rId37" w:anchor="data" w:history="1">
        <w:r w:rsidRPr="00511A36">
          <w:rPr>
            <w:rStyle w:val="Hyperlink"/>
            <w:rFonts w:eastAsia="Aptos" w:cstheme="minorHAnsi"/>
          </w:rPr>
          <w:t>https://www.spc.noaa.gov/wcm/#data</w:t>
        </w:r>
      </w:hyperlink>
    </w:p>
    <w:p w14:paraId="518BEFE8" w14:textId="77777777" w:rsidR="004D42B8" w:rsidRPr="00511A36" w:rsidRDefault="004D42B8" w:rsidP="004D42B8">
      <w:pPr>
        <w:rPr>
          <w:rFonts w:eastAsia="Aptos" w:cstheme="minorHAnsi"/>
        </w:rPr>
      </w:pPr>
      <w:r w:rsidRPr="00511A36">
        <w:rPr>
          <w:rFonts w:eastAsia="Aptos" w:cstheme="minorHAnsi"/>
        </w:rPr>
        <w:t xml:space="preserve">Northeast Regional Climate Center (NRCC), </w:t>
      </w:r>
      <w:hyperlink r:id="rId38" w:anchor="dialog_box" w:history="1">
        <w:r w:rsidRPr="00511A36">
          <w:rPr>
            <w:rStyle w:val="Hyperlink"/>
            <w:rFonts w:eastAsia="Aptos" w:cstheme="minorHAnsi"/>
          </w:rPr>
          <w:t>NY Projected IDF Curves, https://ny-idf-projections.nrcc.cornell.edu/index.html#dialog_box</w:t>
        </w:r>
      </w:hyperlink>
    </w:p>
    <w:p w14:paraId="007F6A75" w14:textId="77777777" w:rsidR="004D42B8" w:rsidRPr="00511A36" w:rsidRDefault="004D42B8" w:rsidP="004D42B8">
      <w:pPr>
        <w:rPr>
          <w:rStyle w:val="Hyperlink"/>
          <w:rFonts w:hint="eastAsia"/>
        </w:rPr>
      </w:pPr>
      <w:r w:rsidRPr="00511A36">
        <w:t xml:space="preserve">NRCS, NRCC, Extreme Precipitation in New York &amp; New England, </w:t>
      </w:r>
      <w:hyperlink r:id="rId39" w:anchor="/">
        <w:r w:rsidRPr="00511A36">
          <w:rPr>
            <w:rStyle w:val="Hyperlink"/>
          </w:rPr>
          <w:t>https://precip.eas.cornell.edu/#/</w:t>
        </w:r>
      </w:hyperlink>
    </w:p>
    <w:p w14:paraId="3323AF72" w14:textId="77777777" w:rsidR="004D42B8" w:rsidRPr="00511A36" w:rsidRDefault="004D42B8" w:rsidP="004D42B8">
      <w:pPr>
        <w:rPr>
          <w:rFonts w:eastAsia="Arial"/>
          <w:color w:val="800080"/>
        </w:rPr>
      </w:pPr>
      <w:r w:rsidRPr="00511A36">
        <w:t>PRISM Group, Oregon State University,</w:t>
      </w:r>
      <w:r w:rsidRPr="00511A36">
        <w:rPr>
          <w:rFonts w:eastAsia="Arial"/>
          <w:color w:val="800080"/>
        </w:rPr>
        <w:t xml:space="preserve"> </w:t>
      </w:r>
      <w:hyperlink r:id="rId40">
        <w:r w:rsidRPr="00511A36">
          <w:rPr>
            <w:rStyle w:val="Hyperlink"/>
            <w:rFonts w:eastAsia="Arial"/>
          </w:rPr>
          <w:t>https://prism.oregonstate.edu</w:t>
        </w:r>
      </w:hyperlink>
    </w:p>
    <w:p w14:paraId="7B0E70F1" w14:textId="77777777" w:rsidR="004D42B8" w:rsidRPr="00511A36" w:rsidRDefault="004D42B8" w:rsidP="004D42B8">
      <w:pPr>
        <w:rPr>
          <w:rFonts w:hint="eastAsia"/>
        </w:rPr>
      </w:pPr>
      <w:r w:rsidRPr="00511A36">
        <w:t>Sanja Perica, Sandra Pavlovic, Michael St. Laurent, Carl Trypaluk, Dale Unruh, Deborah Martin, Orlan Wilhite (2015, revised 2019). NOAA Atlas 14 Volume 10 Version 3, Precipitation-Frequency Atlas of the United States, Northeastern States. NOAA, National Weather Service, Silver Spring, MD.</w:t>
      </w:r>
    </w:p>
    <w:p w14:paraId="740FD2A8" w14:textId="778006B3" w:rsidR="004D42B8" w:rsidRPr="00511A36" w:rsidRDefault="004D42B8" w:rsidP="004D42B8">
      <w:pPr>
        <w:rPr>
          <w:rFonts w:hint="eastAsia"/>
        </w:rPr>
      </w:pPr>
      <w:r w:rsidRPr="00511A36">
        <w:t xml:space="preserve">University of Connecticut, Center for Land Use Education and Research (CLEAR), </w:t>
      </w:r>
      <w:hyperlink r:id="rId41">
        <w:r w:rsidR="004960C5" w:rsidRPr="00511A36">
          <w:rPr>
            <w:rStyle w:val="Hyperlink"/>
          </w:rPr>
          <w:t>https://clear.uconn.edu/mapping/data/</w:t>
        </w:r>
      </w:hyperlink>
      <w:r w:rsidR="004960C5" w:rsidRPr="00511A36">
        <w:t xml:space="preserve"> </w:t>
      </w:r>
    </w:p>
    <w:p w14:paraId="1E117E6E" w14:textId="77777777" w:rsidR="004D42B8" w:rsidRPr="00511A36" w:rsidRDefault="004D42B8" w:rsidP="004D42B8">
      <w:pPr>
        <w:rPr>
          <w:rStyle w:val="Hyperlink"/>
          <w:rFonts w:hint="eastAsia"/>
        </w:rPr>
      </w:pPr>
      <w:r w:rsidRPr="00511A36">
        <w:t xml:space="preserve">University of Connecticut, Connecticut Environmental Conditions Online (CT ECO), </w:t>
      </w:r>
      <w:hyperlink r:id="rId42">
        <w:r w:rsidRPr="00511A36">
          <w:rPr>
            <w:rStyle w:val="Hyperlink"/>
          </w:rPr>
          <w:t>https://maps.cteco.uconn.edu/</w:t>
        </w:r>
      </w:hyperlink>
    </w:p>
    <w:p w14:paraId="202BFE21" w14:textId="2E0E7F69" w:rsidR="004D42B8" w:rsidRPr="00511A36" w:rsidRDefault="004D42B8" w:rsidP="004D42B8">
      <w:pPr>
        <w:rPr>
          <w:rFonts w:eastAsia="Aptos"/>
        </w:rPr>
      </w:pPr>
      <w:r w:rsidRPr="00511A36">
        <w:t xml:space="preserve">University of Connecticut, </w:t>
      </w:r>
      <w:r w:rsidRPr="00511A36">
        <w:rPr>
          <w:rFonts w:eastAsia="Aptos"/>
          <w:color w:val="000000" w:themeColor="text1"/>
        </w:rPr>
        <w:t>Connecticut Institute for Resilience and Climate Adaptation (CIRCA)</w:t>
      </w:r>
      <w:r w:rsidRPr="00511A36">
        <w:rPr>
          <w:rFonts w:eastAsia="Aptos"/>
          <w:color w:val="038387"/>
          <w:u w:val="single"/>
        </w:rPr>
        <w:t>,</w:t>
      </w:r>
      <w:r w:rsidR="0067101B" w:rsidRPr="00511A36">
        <w:rPr>
          <w:rFonts w:eastAsia="Aptos"/>
          <w:color w:val="038387"/>
          <w:u w:val="single"/>
        </w:rPr>
        <w:t xml:space="preserve"> </w:t>
      </w:r>
      <w:hyperlink r:id="rId43">
        <w:r w:rsidRPr="00511A36">
          <w:rPr>
            <w:rStyle w:val="Hyperlink"/>
            <w:rFonts w:eastAsia="Aptos"/>
          </w:rPr>
          <w:t>https://resilientconnecticut.uconn.edu/datasets/</w:t>
        </w:r>
      </w:hyperlink>
      <w:r w:rsidR="0067101B" w:rsidRPr="00511A36">
        <w:rPr>
          <w:rFonts w:eastAsia="Aptos"/>
          <w:color w:val="000000" w:themeColor="text1"/>
        </w:rPr>
        <w:t xml:space="preserve"> </w:t>
      </w:r>
    </w:p>
    <w:p w14:paraId="5303ED21" w14:textId="04A0C771" w:rsidR="004D42B8" w:rsidRPr="002508EE" w:rsidRDefault="004D42B8" w:rsidP="004D42B8">
      <w:pPr>
        <w:rPr>
          <w:rFonts w:eastAsia="Arial" w:cstheme="minorHAnsi"/>
        </w:rPr>
      </w:pPr>
      <w:r w:rsidRPr="00511A36">
        <w:rPr>
          <w:rFonts w:eastAsia="Arial" w:cstheme="minorHAnsi"/>
        </w:rPr>
        <w:t xml:space="preserve">Western Council of Governments Multi-Jurisdiction Hazard Mitigation Plan Update, 2021-2026, </w:t>
      </w:r>
      <w:hyperlink r:id="rId44" w:history="1">
        <w:r w:rsidR="004960C5" w:rsidRPr="00511A36">
          <w:rPr>
            <w:rStyle w:val="Hyperlink"/>
            <w:rFonts w:eastAsia="Arial" w:cstheme="minorHAnsi"/>
          </w:rPr>
          <w:t>https://westcog.org/wp-content/uploads/2021/08/HMP-2021.pdf</w:t>
        </w:r>
      </w:hyperlink>
      <w:r w:rsidR="004960C5" w:rsidRPr="00511A36">
        <w:rPr>
          <w:rFonts w:eastAsia="Arial" w:cstheme="minorHAnsi"/>
        </w:rPr>
        <w:t xml:space="preserve"> </w:t>
      </w:r>
    </w:p>
    <w:p w14:paraId="33FFD875" w14:textId="77777777" w:rsidR="009F3A72" w:rsidRDefault="009F3A72" w:rsidP="004D42B8">
      <w:pPr>
        <w:rPr>
          <w:rFonts w:eastAsia="Arial" w:cstheme="minorHAnsi"/>
        </w:rPr>
      </w:pPr>
    </w:p>
    <w:p w14:paraId="1BDF3B51" w14:textId="77777777" w:rsidR="00561F65" w:rsidRDefault="00561F65" w:rsidP="004D42B8">
      <w:pPr>
        <w:rPr>
          <w:rFonts w:eastAsia="Arial" w:cstheme="minorHAnsi"/>
        </w:rPr>
      </w:pPr>
    </w:p>
    <w:p w14:paraId="04274DB4" w14:textId="77777777" w:rsidR="00CD3F8E" w:rsidRDefault="00CD3F8E">
      <w:pPr>
        <w:spacing w:line="259" w:lineRule="auto"/>
        <w:rPr>
          <w:rFonts w:asciiTheme="majorHAnsi" w:eastAsia="Arial" w:hAnsiTheme="majorHAnsi" w:cstheme="majorBidi"/>
          <w:b/>
          <w:color w:val="4970B7" w:themeColor="accent3"/>
          <w:sz w:val="48"/>
          <w:szCs w:val="32"/>
        </w:rPr>
      </w:pPr>
      <w:bookmarkStart w:id="68" w:name="_Ref228512228"/>
      <w:r>
        <w:rPr>
          <w:rFonts w:eastAsia="Arial"/>
        </w:rPr>
        <w:br w:type="page"/>
      </w:r>
    </w:p>
    <w:p w14:paraId="6F474278" w14:textId="417016CB" w:rsidR="009F3A72" w:rsidRPr="002508EE" w:rsidRDefault="009F3A72" w:rsidP="009F3A72">
      <w:pPr>
        <w:pStyle w:val="Heading1"/>
        <w:rPr>
          <w:rFonts w:eastAsia="Arial"/>
        </w:rPr>
      </w:pPr>
      <w:bookmarkStart w:id="69" w:name="_Toc233228237"/>
      <w:r w:rsidRPr="002508EE">
        <w:rPr>
          <w:rFonts w:eastAsia="Arial"/>
        </w:rPr>
        <w:t>Appendix A: Maps</w:t>
      </w:r>
      <w:bookmarkEnd w:id="68"/>
      <w:bookmarkEnd w:id="69"/>
    </w:p>
    <w:p w14:paraId="54145745" w14:textId="77777777" w:rsidR="00076597" w:rsidRPr="00734799" w:rsidRDefault="00076597" w:rsidP="00734799">
      <w:pPr>
        <w:rPr>
          <w:rFonts w:hint="eastAsia"/>
        </w:rPr>
      </w:pPr>
    </w:p>
    <w:p w14:paraId="731B4B8A" w14:textId="77777777" w:rsidR="00CD3F8E" w:rsidRDefault="00680877" w:rsidP="00162924">
      <w:pPr>
        <w:keepNext/>
        <w:rPr>
          <w:rFonts w:hint="eastAsia"/>
        </w:rPr>
      </w:pPr>
      <w:r w:rsidRPr="002508EE">
        <w:rPr>
          <w:noProof/>
        </w:rPr>
        <w:drawing>
          <wp:inline distT="0" distB="0" distL="0" distR="0" wp14:anchorId="4CAC7883" wp14:editId="0F9812AF">
            <wp:extent cx="5943600" cy="6686550"/>
            <wp:effectExtent l="19050" t="19050" r="19050" b="19050"/>
            <wp:docPr id="319438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23541" name="Picture 104392354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6686550"/>
                    </a:xfrm>
                    <a:prstGeom prst="rect">
                      <a:avLst/>
                    </a:prstGeom>
                    <a:ln>
                      <a:solidFill>
                        <a:schemeClr val="tx1"/>
                      </a:solidFill>
                    </a:ln>
                  </pic:spPr>
                </pic:pic>
              </a:graphicData>
            </a:graphic>
          </wp:inline>
        </w:drawing>
      </w:r>
    </w:p>
    <w:p w14:paraId="161573A5" w14:textId="4D3616D2" w:rsidR="00680877" w:rsidRPr="002508EE" w:rsidRDefault="00CD3F8E" w:rsidP="00162924">
      <w:pPr>
        <w:pStyle w:val="Caption"/>
        <w:jc w:val="center"/>
        <w:rPr>
          <w:rFonts w:hint="eastAsia"/>
        </w:rPr>
      </w:pPr>
      <w:bookmarkStart w:id="70" w:name="_Toc233228245"/>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6</w:t>
      </w:r>
      <w:r w:rsidRPr="00162924">
        <w:rPr>
          <w:b/>
          <w:bCs/>
        </w:rPr>
        <w:fldChar w:fldCharType="end"/>
      </w:r>
      <w:r w:rsidRPr="00162924">
        <w:rPr>
          <w:rFonts w:hint="eastAsia"/>
          <w:b/>
          <w:bCs/>
        </w:rPr>
        <w:t>.</w:t>
      </w:r>
      <w:r>
        <w:t xml:space="preserve"> </w:t>
      </w:r>
      <w:r w:rsidRPr="00602909">
        <w:t>NOAA SLOSH Hurricane Inundation Zone Extents</w:t>
      </w:r>
      <w:bookmarkEnd w:id="70"/>
    </w:p>
    <w:p w14:paraId="4EEC2948" w14:textId="77777777" w:rsidR="00CD3F8E" w:rsidRDefault="00680877" w:rsidP="00162924">
      <w:pPr>
        <w:keepNext/>
        <w:rPr>
          <w:rFonts w:hint="eastAsia"/>
        </w:rPr>
      </w:pPr>
      <w:r w:rsidRPr="002508EE">
        <w:rPr>
          <w:noProof/>
        </w:rPr>
        <w:drawing>
          <wp:inline distT="0" distB="0" distL="0" distR="0" wp14:anchorId="581175ED" wp14:editId="30E5E156">
            <wp:extent cx="5943599" cy="6686550"/>
            <wp:effectExtent l="19050" t="19050" r="19685" b="19050"/>
            <wp:docPr id="17045853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76721" name="Picture 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599" cy="6686550"/>
                    </a:xfrm>
                    <a:prstGeom prst="rect">
                      <a:avLst/>
                    </a:prstGeom>
                    <a:ln>
                      <a:solidFill>
                        <a:schemeClr val="tx1"/>
                      </a:solidFill>
                    </a:ln>
                  </pic:spPr>
                </pic:pic>
              </a:graphicData>
            </a:graphic>
          </wp:inline>
        </w:drawing>
      </w:r>
    </w:p>
    <w:p w14:paraId="0156AAE4" w14:textId="6B10CE91" w:rsidR="00680877" w:rsidRPr="002508EE" w:rsidRDefault="00CD3F8E" w:rsidP="00162924">
      <w:pPr>
        <w:pStyle w:val="FigureTableCaptions"/>
        <w:jc w:val="center"/>
        <w:rPr>
          <w:rFonts w:hint="eastAsia"/>
        </w:rPr>
      </w:pPr>
      <w:bookmarkStart w:id="71" w:name="_Toc233228246"/>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7</w:t>
      </w:r>
      <w:r w:rsidRPr="00162924">
        <w:rPr>
          <w:b/>
          <w:bCs/>
        </w:rPr>
        <w:fldChar w:fldCharType="end"/>
      </w:r>
      <w:r w:rsidRPr="00162924">
        <w:rPr>
          <w:rFonts w:hint="eastAsia"/>
          <w:b/>
          <w:bCs/>
        </w:rPr>
        <w:t>.</w:t>
      </w:r>
      <w:r>
        <w:t xml:space="preserve"> </w:t>
      </w:r>
      <w:r w:rsidRPr="003C19B9">
        <w:t xml:space="preserve">Tropical </w:t>
      </w:r>
      <w:r w:rsidRPr="00CD3F8E">
        <w:t>Cyclone</w:t>
      </w:r>
      <w:r w:rsidRPr="003C19B9">
        <w:t xml:space="preserve"> Tracks Intersecting the WestCOG region</w:t>
      </w:r>
      <w:bookmarkEnd w:id="71"/>
    </w:p>
    <w:p w14:paraId="0D6CC1D9" w14:textId="77777777" w:rsidR="00076597" w:rsidRPr="00734799" w:rsidRDefault="00076597" w:rsidP="00734799">
      <w:pPr>
        <w:rPr>
          <w:rFonts w:hint="eastAsia"/>
        </w:rPr>
      </w:pPr>
    </w:p>
    <w:p w14:paraId="74BE87B8" w14:textId="77777777" w:rsidR="00CD3F8E" w:rsidRDefault="001F4FB9" w:rsidP="00162924">
      <w:pPr>
        <w:keepNext/>
        <w:jc w:val="center"/>
        <w:rPr>
          <w:rFonts w:hint="eastAsia"/>
        </w:rPr>
      </w:pPr>
      <w:r w:rsidRPr="002508EE">
        <w:rPr>
          <w:noProof/>
        </w:rPr>
        <w:drawing>
          <wp:inline distT="0" distB="0" distL="0" distR="0" wp14:anchorId="13F145EB" wp14:editId="2A140B35">
            <wp:extent cx="5943599" cy="6686550"/>
            <wp:effectExtent l="19050" t="19050" r="19685" b="19050"/>
            <wp:docPr id="18900180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366839" name="Picture 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599" cy="6686550"/>
                    </a:xfrm>
                    <a:prstGeom prst="rect">
                      <a:avLst/>
                    </a:prstGeom>
                    <a:ln>
                      <a:solidFill>
                        <a:schemeClr val="tx1"/>
                      </a:solidFill>
                    </a:ln>
                  </pic:spPr>
                </pic:pic>
              </a:graphicData>
            </a:graphic>
          </wp:inline>
        </w:drawing>
      </w:r>
    </w:p>
    <w:p w14:paraId="332B9BFF" w14:textId="2B914F07" w:rsidR="001F4FB9" w:rsidRPr="002508EE" w:rsidRDefault="00CD3F8E" w:rsidP="00162924">
      <w:pPr>
        <w:pStyle w:val="Caption"/>
        <w:jc w:val="center"/>
        <w:rPr>
          <w:rFonts w:hint="eastAsia"/>
        </w:rPr>
      </w:pPr>
      <w:bookmarkStart w:id="72" w:name="_Toc233228247"/>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8</w:t>
      </w:r>
      <w:r w:rsidRPr="00162924">
        <w:rPr>
          <w:b/>
          <w:bCs/>
        </w:rPr>
        <w:fldChar w:fldCharType="end"/>
      </w:r>
      <w:r w:rsidRPr="00162924">
        <w:rPr>
          <w:rFonts w:hint="eastAsia"/>
          <w:b/>
          <w:bCs/>
        </w:rPr>
        <w:t>.</w:t>
      </w:r>
      <w:r>
        <w:t xml:space="preserve"> </w:t>
      </w:r>
      <w:r w:rsidRPr="006B5F20">
        <w:t>Historical Tornado Tracks Intersecting with WestCOG</w:t>
      </w:r>
      <w:bookmarkEnd w:id="72"/>
    </w:p>
    <w:p w14:paraId="072C762E" w14:textId="77777777" w:rsidR="009F3A72" w:rsidRDefault="009F3A72" w:rsidP="009F3A72">
      <w:pPr>
        <w:rPr>
          <w:rFonts w:hint="eastAsia"/>
        </w:rPr>
      </w:pPr>
    </w:p>
    <w:p w14:paraId="593C7D96" w14:textId="77777777" w:rsidR="00CD3F8E" w:rsidRDefault="00EA78AF" w:rsidP="00162924">
      <w:pPr>
        <w:keepNext/>
        <w:rPr>
          <w:rFonts w:hint="eastAsia"/>
        </w:rPr>
      </w:pPr>
      <w:r w:rsidRPr="002508EE">
        <w:rPr>
          <w:noProof/>
        </w:rPr>
        <w:drawing>
          <wp:inline distT="0" distB="0" distL="0" distR="0" wp14:anchorId="61390263" wp14:editId="01951D9D">
            <wp:extent cx="5938520" cy="6680836"/>
            <wp:effectExtent l="19050" t="19050" r="24130" b="24765"/>
            <wp:docPr id="171381825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818255" name="Picture 13"/>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38520" cy="6680836"/>
                    </a:xfrm>
                    <a:prstGeom prst="rect">
                      <a:avLst/>
                    </a:prstGeom>
                    <a:ln>
                      <a:solidFill>
                        <a:schemeClr val="tx1"/>
                      </a:solidFill>
                    </a:ln>
                  </pic:spPr>
                </pic:pic>
              </a:graphicData>
            </a:graphic>
          </wp:inline>
        </w:drawing>
      </w:r>
    </w:p>
    <w:p w14:paraId="5772E013" w14:textId="08D5F4EA" w:rsidR="00EA78AF" w:rsidRPr="002508EE" w:rsidRDefault="00CD3F8E" w:rsidP="00162924">
      <w:pPr>
        <w:pStyle w:val="Caption"/>
        <w:jc w:val="center"/>
        <w:rPr>
          <w:rFonts w:hint="eastAsia"/>
        </w:rPr>
      </w:pPr>
      <w:bookmarkStart w:id="73" w:name="_Toc233228248"/>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9</w:t>
      </w:r>
      <w:r w:rsidRPr="00162924">
        <w:rPr>
          <w:b/>
          <w:bCs/>
        </w:rPr>
        <w:fldChar w:fldCharType="end"/>
      </w:r>
      <w:r w:rsidRPr="00162924">
        <w:rPr>
          <w:rFonts w:hint="eastAsia"/>
          <w:b/>
          <w:bCs/>
        </w:rPr>
        <w:t>.</w:t>
      </w:r>
      <w:r>
        <w:t xml:space="preserve"> </w:t>
      </w:r>
      <w:r w:rsidRPr="004C0926">
        <w:t>CIRCA Flood CCVI Flood Vulnerability</w:t>
      </w:r>
      <w:bookmarkEnd w:id="73"/>
    </w:p>
    <w:p w14:paraId="5AB09F05" w14:textId="77777777" w:rsidR="00CD3F8E" w:rsidRDefault="00DF3B70" w:rsidP="00162924">
      <w:pPr>
        <w:keepNext/>
        <w:jc w:val="center"/>
        <w:rPr>
          <w:rFonts w:hint="eastAsia"/>
        </w:rPr>
      </w:pPr>
      <w:r w:rsidRPr="002508EE">
        <w:rPr>
          <w:noProof/>
        </w:rPr>
        <w:drawing>
          <wp:inline distT="0" distB="0" distL="0" distR="0" wp14:anchorId="51CBF791" wp14:editId="18E56878">
            <wp:extent cx="5899150" cy="6636543"/>
            <wp:effectExtent l="19050" t="19050" r="25400" b="12065"/>
            <wp:docPr id="1071967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20851" name="Picture 6432085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28939" cy="6670056"/>
                    </a:xfrm>
                    <a:prstGeom prst="rect">
                      <a:avLst/>
                    </a:prstGeom>
                    <a:ln>
                      <a:solidFill>
                        <a:schemeClr val="tx1"/>
                      </a:solidFill>
                    </a:ln>
                  </pic:spPr>
                </pic:pic>
              </a:graphicData>
            </a:graphic>
          </wp:inline>
        </w:drawing>
      </w:r>
    </w:p>
    <w:p w14:paraId="75E2521C" w14:textId="783B5919" w:rsidR="00DF3B70" w:rsidRPr="002508EE" w:rsidRDefault="00CD3F8E" w:rsidP="00162924">
      <w:pPr>
        <w:pStyle w:val="Caption"/>
        <w:jc w:val="center"/>
        <w:rPr>
          <w:rFonts w:hint="eastAsia"/>
        </w:rPr>
      </w:pPr>
      <w:bookmarkStart w:id="74" w:name="_Toc233228249"/>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10</w:t>
      </w:r>
      <w:r w:rsidRPr="00162924">
        <w:rPr>
          <w:b/>
          <w:bCs/>
        </w:rPr>
        <w:fldChar w:fldCharType="end"/>
      </w:r>
      <w:r w:rsidRPr="00162924">
        <w:rPr>
          <w:rFonts w:hint="eastAsia"/>
          <w:b/>
          <w:bCs/>
        </w:rPr>
        <w:t>.</w:t>
      </w:r>
      <w:r>
        <w:t xml:space="preserve"> </w:t>
      </w:r>
      <w:r w:rsidRPr="00B9413F">
        <w:t>Floodplains in WestCOG</w:t>
      </w:r>
      <w:bookmarkEnd w:id="74"/>
    </w:p>
    <w:p w14:paraId="026BBD1A" w14:textId="77777777" w:rsidR="00CD3F8E" w:rsidRDefault="00DF3B70" w:rsidP="00162924">
      <w:pPr>
        <w:keepNext/>
        <w:jc w:val="center"/>
        <w:rPr>
          <w:rFonts w:hint="eastAsia"/>
        </w:rPr>
      </w:pPr>
      <w:r w:rsidRPr="002508EE">
        <w:rPr>
          <w:noProof/>
        </w:rPr>
        <w:drawing>
          <wp:inline distT="0" distB="0" distL="0" distR="0" wp14:anchorId="30B18661" wp14:editId="257D1760">
            <wp:extent cx="5937838" cy="6678083"/>
            <wp:effectExtent l="19050" t="19050" r="25400" b="27940"/>
            <wp:docPr id="36712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55758" cy="6698237"/>
                    </a:xfrm>
                    <a:prstGeom prst="rect">
                      <a:avLst/>
                    </a:prstGeom>
                    <a:noFill/>
                    <a:ln>
                      <a:solidFill>
                        <a:schemeClr val="tx1"/>
                      </a:solidFill>
                    </a:ln>
                  </pic:spPr>
                </pic:pic>
              </a:graphicData>
            </a:graphic>
          </wp:inline>
        </w:drawing>
      </w:r>
    </w:p>
    <w:p w14:paraId="76DE07DD" w14:textId="0016995F" w:rsidR="00DF3B70" w:rsidRPr="002508EE" w:rsidRDefault="00CD3F8E" w:rsidP="00162924">
      <w:pPr>
        <w:pStyle w:val="Caption"/>
        <w:jc w:val="center"/>
        <w:rPr>
          <w:rFonts w:hint="eastAsia"/>
        </w:rPr>
      </w:pPr>
      <w:bookmarkStart w:id="75" w:name="_Toc233228250"/>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11</w:t>
      </w:r>
      <w:r w:rsidRPr="00162924">
        <w:rPr>
          <w:b/>
          <w:bCs/>
        </w:rPr>
        <w:fldChar w:fldCharType="end"/>
      </w:r>
      <w:r w:rsidRPr="00162924">
        <w:rPr>
          <w:rFonts w:hint="eastAsia"/>
          <w:b/>
          <w:bCs/>
        </w:rPr>
        <w:t>.</w:t>
      </w:r>
      <w:r>
        <w:t xml:space="preserve"> </w:t>
      </w:r>
      <w:r w:rsidRPr="00D75157">
        <w:t>Baseline MHHW and MHHW with SLR Conditions in WestCOG</w:t>
      </w:r>
      <w:bookmarkEnd w:id="75"/>
    </w:p>
    <w:p w14:paraId="424D2068" w14:textId="77777777" w:rsidR="00CD3F8E" w:rsidRDefault="00DF3B70" w:rsidP="00162924">
      <w:pPr>
        <w:keepNext/>
        <w:jc w:val="center"/>
        <w:rPr>
          <w:rFonts w:hint="eastAsia"/>
        </w:rPr>
      </w:pPr>
      <w:r w:rsidRPr="002508EE">
        <w:rPr>
          <w:noProof/>
        </w:rPr>
        <w:drawing>
          <wp:inline distT="0" distB="0" distL="0" distR="0" wp14:anchorId="4AF67313" wp14:editId="6BA97864">
            <wp:extent cx="5898444" cy="6635750"/>
            <wp:effectExtent l="19050" t="19050" r="26670" b="12700"/>
            <wp:docPr id="9771574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235636" name="Picture 1472235636"/>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16943" cy="6656561"/>
                    </a:xfrm>
                    <a:prstGeom prst="rect">
                      <a:avLst/>
                    </a:prstGeom>
                    <a:ln>
                      <a:solidFill>
                        <a:schemeClr val="tx1"/>
                      </a:solidFill>
                    </a:ln>
                  </pic:spPr>
                </pic:pic>
              </a:graphicData>
            </a:graphic>
          </wp:inline>
        </w:drawing>
      </w:r>
    </w:p>
    <w:p w14:paraId="4D31A261" w14:textId="3FAE0A92" w:rsidR="00DF3B70" w:rsidRPr="002508EE" w:rsidRDefault="00CD3F8E" w:rsidP="00162924">
      <w:pPr>
        <w:pStyle w:val="Caption"/>
        <w:jc w:val="center"/>
        <w:rPr>
          <w:rFonts w:hint="eastAsia"/>
        </w:rPr>
      </w:pPr>
      <w:bookmarkStart w:id="76" w:name="_Toc233228251"/>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12</w:t>
      </w:r>
      <w:r w:rsidRPr="00162924">
        <w:rPr>
          <w:b/>
          <w:bCs/>
        </w:rPr>
        <w:fldChar w:fldCharType="end"/>
      </w:r>
      <w:r w:rsidRPr="00162924">
        <w:rPr>
          <w:rFonts w:hint="eastAsia"/>
          <w:b/>
          <w:bCs/>
        </w:rPr>
        <w:t>.</w:t>
      </w:r>
      <w:r>
        <w:t xml:space="preserve"> </w:t>
      </w:r>
      <w:r w:rsidRPr="002B1B93">
        <w:t>Baseline 10-year Storm Surge and 10-year Storm Surge with SLR Condition in WestCOG</w:t>
      </w:r>
      <w:bookmarkEnd w:id="76"/>
    </w:p>
    <w:p w14:paraId="5C1F0122" w14:textId="77777777" w:rsidR="00CD3F8E" w:rsidRDefault="00DF3B70" w:rsidP="00162924">
      <w:pPr>
        <w:keepNext/>
        <w:jc w:val="center"/>
        <w:rPr>
          <w:rFonts w:hint="eastAsia"/>
        </w:rPr>
      </w:pPr>
      <w:r w:rsidRPr="002508EE">
        <w:rPr>
          <w:noProof/>
        </w:rPr>
        <w:drawing>
          <wp:inline distT="0" distB="0" distL="0" distR="0" wp14:anchorId="5F7C8206" wp14:editId="4694F706">
            <wp:extent cx="5928549" cy="6669617"/>
            <wp:effectExtent l="19050" t="19050" r="15240" b="17145"/>
            <wp:docPr id="124069928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19060" name="Picture 173341906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4109" cy="6687123"/>
                    </a:xfrm>
                    <a:prstGeom prst="rect">
                      <a:avLst/>
                    </a:prstGeom>
                    <a:ln>
                      <a:solidFill>
                        <a:schemeClr val="tx1"/>
                      </a:solidFill>
                    </a:ln>
                  </pic:spPr>
                </pic:pic>
              </a:graphicData>
            </a:graphic>
          </wp:inline>
        </w:drawing>
      </w:r>
    </w:p>
    <w:p w14:paraId="23A5D5AC" w14:textId="57AA43CF" w:rsidR="00DF3B70" w:rsidRPr="002508EE" w:rsidRDefault="00CD3F8E" w:rsidP="00162924">
      <w:pPr>
        <w:pStyle w:val="Caption"/>
        <w:jc w:val="center"/>
        <w:rPr>
          <w:rFonts w:hint="eastAsia"/>
        </w:rPr>
      </w:pPr>
      <w:bookmarkStart w:id="77" w:name="_Toc233228252"/>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13</w:t>
      </w:r>
      <w:r w:rsidRPr="00162924">
        <w:rPr>
          <w:b/>
          <w:bCs/>
        </w:rPr>
        <w:fldChar w:fldCharType="end"/>
      </w:r>
      <w:r w:rsidRPr="00162924">
        <w:rPr>
          <w:rFonts w:hint="eastAsia"/>
          <w:b/>
          <w:bCs/>
        </w:rPr>
        <w:t>.</w:t>
      </w:r>
      <w:r>
        <w:t xml:space="preserve"> </w:t>
      </w:r>
      <w:r w:rsidRPr="00F86E74">
        <w:t>Baseline 30-year Storm Surge and 30-year Storm Surge with SLR Condition in WestCOG</w:t>
      </w:r>
      <w:bookmarkEnd w:id="77"/>
    </w:p>
    <w:p w14:paraId="53E0754F" w14:textId="77777777" w:rsidR="00CD3F8E" w:rsidRDefault="00DF3B70" w:rsidP="00162924">
      <w:pPr>
        <w:keepNext/>
        <w:jc w:val="center"/>
        <w:rPr>
          <w:rFonts w:hint="eastAsia"/>
        </w:rPr>
      </w:pPr>
      <w:r w:rsidRPr="002508EE">
        <w:rPr>
          <w:noProof/>
        </w:rPr>
        <w:drawing>
          <wp:inline distT="0" distB="0" distL="0" distR="0" wp14:anchorId="5BD568A9" wp14:editId="251D002D">
            <wp:extent cx="5916083" cy="6655593"/>
            <wp:effectExtent l="19050" t="19050" r="27940" b="12065"/>
            <wp:docPr id="14348135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750012" name="Picture 540750012"/>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31938" cy="6673430"/>
                    </a:xfrm>
                    <a:prstGeom prst="rect">
                      <a:avLst/>
                    </a:prstGeom>
                    <a:ln>
                      <a:solidFill>
                        <a:schemeClr val="tx1"/>
                      </a:solidFill>
                    </a:ln>
                  </pic:spPr>
                </pic:pic>
              </a:graphicData>
            </a:graphic>
          </wp:inline>
        </w:drawing>
      </w:r>
    </w:p>
    <w:p w14:paraId="072363B0" w14:textId="029FEADE" w:rsidR="00DF3B70" w:rsidRPr="002508EE" w:rsidRDefault="00CD3F8E" w:rsidP="00162924">
      <w:pPr>
        <w:pStyle w:val="Caption"/>
        <w:jc w:val="center"/>
        <w:rPr>
          <w:rFonts w:hint="eastAsia"/>
        </w:rPr>
      </w:pPr>
      <w:bookmarkStart w:id="78" w:name="_Toc233228253"/>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14</w:t>
      </w:r>
      <w:r w:rsidRPr="00162924">
        <w:rPr>
          <w:b/>
          <w:bCs/>
        </w:rPr>
        <w:fldChar w:fldCharType="end"/>
      </w:r>
      <w:r w:rsidRPr="00162924">
        <w:rPr>
          <w:rFonts w:hint="eastAsia"/>
          <w:b/>
          <w:bCs/>
        </w:rPr>
        <w:t>.</w:t>
      </w:r>
      <w:r>
        <w:t xml:space="preserve"> </w:t>
      </w:r>
      <w:r w:rsidRPr="005F3171">
        <w:t>Baseline 100-year Storm Surge and 100-year Storm Surge with SLR Condition in WestCOG</w:t>
      </w:r>
      <w:bookmarkEnd w:id="78"/>
    </w:p>
    <w:p w14:paraId="0E04BC0F" w14:textId="77777777" w:rsidR="00CD3F8E" w:rsidRDefault="00DF3B70" w:rsidP="00162924">
      <w:pPr>
        <w:keepNext/>
        <w:jc w:val="center"/>
        <w:rPr>
          <w:rFonts w:hint="eastAsia"/>
        </w:rPr>
      </w:pPr>
      <w:r w:rsidRPr="002508EE">
        <w:rPr>
          <w:noProof/>
        </w:rPr>
        <w:drawing>
          <wp:inline distT="0" distB="0" distL="0" distR="0" wp14:anchorId="649C7D96" wp14:editId="628AC905">
            <wp:extent cx="5928549" cy="6669617"/>
            <wp:effectExtent l="19050" t="19050" r="15240" b="17145"/>
            <wp:docPr id="114104639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108478" name="Picture 83210847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7337" cy="6690753"/>
                    </a:xfrm>
                    <a:prstGeom prst="rect">
                      <a:avLst/>
                    </a:prstGeom>
                    <a:ln>
                      <a:solidFill>
                        <a:schemeClr val="tx1"/>
                      </a:solidFill>
                    </a:ln>
                  </pic:spPr>
                </pic:pic>
              </a:graphicData>
            </a:graphic>
          </wp:inline>
        </w:drawing>
      </w:r>
    </w:p>
    <w:p w14:paraId="5AB8D06E" w14:textId="4B3DA1EA" w:rsidR="00DF3B70" w:rsidRPr="002508EE" w:rsidRDefault="00CD3F8E" w:rsidP="00162924">
      <w:pPr>
        <w:pStyle w:val="Caption"/>
        <w:jc w:val="center"/>
        <w:rPr>
          <w:rFonts w:hint="eastAsia"/>
        </w:rPr>
      </w:pPr>
      <w:bookmarkStart w:id="79" w:name="_Toc233228254"/>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15</w:t>
      </w:r>
      <w:r w:rsidRPr="00162924">
        <w:rPr>
          <w:b/>
          <w:bCs/>
        </w:rPr>
        <w:fldChar w:fldCharType="end"/>
      </w:r>
      <w:r w:rsidRPr="00162924">
        <w:rPr>
          <w:rFonts w:hint="eastAsia"/>
          <w:b/>
          <w:bCs/>
        </w:rPr>
        <w:t>.</w:t>
      </w:r>
      <w:r>
        <w:t xml:space="preserve"> </w:t>
      </w:r>
      <w:r w:rsidRPr="00E236D8">
        <w:t>Baseline 500-year Storm Surge and 500-year Storm Surge with SLR Condition in WestCOG</w:t>
      </w:r>
      <w:bookmarkEnd w:id="79"/>
    </w:p>
    <w:p w14:paraId="1E99B1B9" w14:textId="77777777" w:rsidR="00DF3B70" w:rsidRDefault="00DF3B70" w:rsidP="00DF3B70">
      <w:pPr>
        <w:rPr>
          <w:rFonts w:hint="eastAsia"/>
        </w:rPr>
      </w:pPr>
    </w:p>
    <w:p w14:paraId="2CD0E8F8" w14:textId="77777777" w:rsidR="00CD3F8E" w:rsidRDefault="00DF3B70" w:rsidP="00162924">
      <w:pPr>
        <w:keepNext/>
        <w:jc w:val="center"/>
        <w:rPr>
          <w:rFonts w:hint="eastAsia"/>
        </w:rPr>
      </w:pPr>
      <w:r w:rsidRPr="002508EE">
        <w:rPr>
          <w:noProof/>
        </w:rPr>
        <w:drawing>
          <wp:inline distT="0" distB="0" distL="0" distR="0" wp14:anchorId="24DD21BD" wp14:editId="52641139">
            <wp:extent cx="5905970" cy="6644217"/>
            <wp:effectExtent l="19050" t="19050" r="19050" b="23495"/>
            <wp:docPr id="147560884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48453" name="Picture 10884845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58866" cy="6703725"/>
                    </a:xfrm>
                    <a:prstGeom prst="rect">
                      <a:avLst/>
                    </a:prstGeom>
                    <a:ln>
                      <a:solidFill>
                        <a:schemeClr val="tx1"/>
                      </a:solidFill>
                    </a:ln>
                  </pic:spPr>
                </pic:pic>
              </a:graphicData>
            </a:graphic>
          </wp:inline>
        </w:drawing>
      </w:r>
    </w:p>
    <w:p w14:paraId="78580C27" w14:textId="74065BD9" w:rsidR="00DF3B70" w:rsidRPr="002508EE" w:rsidRDefault="00CD3F8E" w:rsidP="00162924">
      <w:pPr>
        <w:pStyle w:val="Caption"/>
        <w:jc w:val="center"/>
        <w:rPr>
          <w:rFonts w:hint="eastAsia"/>
        </w:rPr>
      </w:pPr>
      <w:bookmarkStart w:id="80" w:name="_Toc233228255"/>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16</w:t>
      </w:r>
      <w:r w:rsidRPr="00162924">
        <w:rPr>
          <w:b/>
          <w:bCs/>
        </w:rPr>
        <w:fldChar w:fldCharType="end"/>
      </w:r>
      <w:r w:rsidRPr="00162924">
        <w:rPr>
          <w:rFonts w:hint="eastAsia"/>
          <w:b/>
          <w:bCs/>
        </w:rPr>
        <w:t>.</w:t>
      </w:r>
      <w:r>
        <w:t xml:space="preserve"> </w:t>
      </w:r>
      <w:r w:rsidRPr="00AB1C67">
        <w:t>MHW Inundation in Baseline Conditions</w:t>
      </w:r>
      <w:bookmarkEnd w:id="80"/>
    </w:p>
    <w:p w14:paraId="37A35AC5" w14:textId="77777777" w:rsidR="00CD3F8E" w:rsidRDefault="00DF3B70" w:rsidP="00162924">
      <w:pPr>
        <w:keepNext/>
        <w:jc w:val="center"/>
        <w:rPr>
          <w:rFonts w:hint="eastAsia"/>
        </w:rPr>
      </w:pPr>
      <w:r w:rsidRPr="002508EE">
        <w:rPr>
          <w:noProof/>
        </w:rPr>
        <w:drawing>
          <wp:inline distT="0" distB="0" distL="0" distR="0" wp14:anchorId="63F58F12" wp14:editId="5E7E9DCC">
            <wp:extent cx="5907617" cy="6646067"/>
            <wp:effectExtent l="19050" t="19050" r="17145" b="21590"/>
            <wp:docPr id="102298240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983119" name="Picture 1946983119"/>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21015" cy="6661140"/>
                    </a:xfrm>
                    <a:prstGeom prst="rect">
                      <a:avLst/>
                    </a:prstGeom>
                    <a:ln>
                      <a:solidFill>
                        <a:schemeClr val="tx1"/>
                      </a:solidFill>
                    </a:ln>
                  </pic:spPr>
                </pic:pic>
              </a:graphicData>
            </a:graphic>
          </wp:inline>
        </w:drawing>
      </w:r>
    </w:p>
    <w:p w14:paraId="2DA2420A" w14:textId="3F52C3EA" w:rsidR="00DF3B70" w:rsidRPr="002508EE" w:rsidRDefault="00CD3F8E" w:rsidP="00162924">
      <w:pPr>
        <w:pStyle w:val="Caption"/>
        <w:jc w:val="center"/>
        <w:rPr>
          <w:rFonts w:hint="eastAsia"/>
        </w:rPr>
      </w:pPr>
      <w:bookmarkStart w:id="81" w:name="_Toc233228256"/>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17</w:t>
      </w:r>
      <w:r w:rsidRPr="00162924">
        <w:rPr>
          <w:b/>
          <w:bCs/>
        </w:rPr>
        <w:fldChar w:fldCharType="end"/>
      </w:r>
      <w:r w:rsidRPr="00162924">
        <w:rPr>
          <w:rFonts w:hint="eastAsia"/>
          <w:b/>
          <w:bCs/>
        </w:rPr>
        <w:t>.</w:t>
      </w:r>
      <w:r>
        <w:t xml:space="preserve"> </w:t>
      </w:r>
      <w:r w:rsidRPr="00651BD4">
        <w:t>MHW Inundation with 18 inches of SLR</w:t>
      </w:r>
      <w:bookmarkEnd w:id="81"/>
    </w:p>
    <w:p w14:paraId="7CDBE92B" w14:textId="77777777" w:rsidR="00CD3F8E" w:rsidRDefault="00DF3B70" w:rsidP="00162924">
      <w:pPr>
        <w:keepNext/>
        <w:jc w:val="center"/>
        <w:rPr>
          <w:rFonts w:hint="eastAsia"/>
        </w:rPr>
      </w:pPr>
      <w:r w:rsidRPr="002508EE">
        <w:rPr>
          <w:noProof/>
        </w:rPr>
        <w:drawing>
          <wp:inline distT="0" distB="0" distL="0" distR="0" wp14:anchorId="3A788968" wp14:editId="3D3C1CA5">
            <wp:extent cx="5898444" cy="6635750"/>
            <wp:effectExtent l="19050" t="19050" r="26670" b="12700"/>
            <wp:docPr id="212466130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18396" name="Picture 62341839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26196" cy="6666971"/>
                    </a:xfrm>
                    <a:prstGeom prst="rect">
                      <a:avLst/>
                    </a:prstGeom>
                    <a:ln>
                      <a:solidFill>
                        <a:schemeClr val="tx1"/>
                      </a:solidFill>
                    </a:ln>
                  </pic:spPr>
                </pic:pic>
              </a:graphicData>
            </a:graphic>
          </wp:inline>
        </w:drawing>
      </w:r>
    </w:p>
    <w:p w14:paraId="6980AA9B" w14:textId="6C98A460" w:rsidR="00DF3B70" w:rsidRPr="002508EE" w:rsidRDefault="00CD3F8E" w:rsidP="00162924">
      <w:pPr>
        <w:pStyle w:val="Caption"/>
        <w:jc w:val="center"/>
        <w:rPr>
          <w:rFonts w:hint="eastAsia"/>
        </w:rPr>
      </w:pPr>
      <w:bookmarkStart w:id="82" w:name="_Toc233228257"/>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18</w:t>
      </w:r>
      <w:r w:rsidRPr="00162924">
        <w:rPr>
          <w:b/>
          <w:bCs/>
        </w:rPr>
        <w:fldChar w:fldCharType="end"/>
      </w:r>
      <w:r w:rsidRPr="00162924">
        <w:rPr>
          <w:rFonts w:hint="eastAsia"/>
          <w:b/>
          <w:bCs/>
        </w:rPr>
        <w:t>.</w:t>
      </w:r>
      <w:r>
        <w:t xml:space="preserve"> </w:t>
      </w:r>
      <w:r w:rsidRPr="00BB6DEA">
        <w:t>Average Monthly Maximum Inundation in Baseline Conditions</w:t>
      </w:r>
      <w:bookmarkEnd w:id="82"/>
    </w:p>
    <w:p w14:paraId="40EE1558" w14:textId="77777777" w:rsidR="00CD3F8E" w:rsidRDefault="00DF3B70" w:rsidP="00162924">
      <w:pPr>
        <w:keepNext/>
        <w:jc w:val="center"/>
        <w:rPr>
          <w:rFonts w:hint="eastAsia"/>
        </w:rPr>
      </w:pPr>
      <w:r w:rsidRPr="002508EE">
        <w:rPr>
          <w:noProof/>
        </w:rPr>
        <w:drawing>
          <wp:inline distT="0" distB="0" distL="0" distR="0" wp14:anchorId="4623B2D1" wp14:editId="628FE3B3">
            <wp:extent cx="5921024" cy="6661150"/>
            <wp:effectExtent l="19050" t="19050" r="22860" b="25400"/>
            <wp:docPr id="66893604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31259" name="Picture 1783031259"/>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141" cy="6686032"/>
                    </a:xfrm>
                    <a:prstGeom prst="rect">
                      <a:avLst/>
                    </a:prstGeom>
                    <a:ln>
                      <a:solidFill>
                        <a:schemeClr val="tx1"/>
                      </a:solidFill>
                    </a:ln>
                  </pic:spPr>
                </pic:pic>
              </a:graphicData>
            </a:graphic>
          </wp:inline>
        </w:drawing>
      </w:r>
    </w:p>
    <w:p w14:paraId="008429BE" w14:textId="07E996FF" w:rsidR="00DF3B70" w:rsidRPr="002508EE" w:rsidRDefault="00CD3F8E" w:rsidP="00162924">
      <w:pPr>
        <w:pStyle w:val="Caption"/>
        <w:jc w:val="center"/>
        <w:rPr>
          <w:rFonts w:hint="eastAsia"/>
        </w:rPr>
      </w:pPr>
      <w:bookmarkStart w:id="83" w:name="_Toc233228258"/>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19</w:t>
      </w:r>
      <w:r w:rsidRPr="00162924">
        <w:rPr>
          <w:b/>
          <w:bCs/>
        </w:rPr>
        <w:fldChar w:fldCharType="end"/>
      </w:r>
      <w:r w:rsidRPr="00162924">
        <w:rPr>
          <w:rFonts w:hint="eastAsia"/>
          <w:b/>
          <w:bCs/>
        </w:rPr>
        <w:t>.</w:t>
      </w:r>
      <w:r>
        <w:t xml:space="preserve"> </w:t>
      </w:r>
      <w:r w:rsidRPr="005B25E2">
        <w:t>Average Monthly Maximum Inundation with 18 inches of SLR</w:t>
      </w:r>
      <w:bookmarkEnd w:id="83"/>
    </w:p>
    <w:p w14:paraId="0ADBC6B2" w14:textId="77777777" w:rsidR="00DF3B70" w:rsidRDefault="00DF3B70" w:rsidP="00DF3B70">
      <w:pPr>
        <w:rPr>
          <w:rFonts w:hint="eastAsia"/>
        </w:rPr>
      </w:pPr>
    </w:p>
    <w:p w14:paraId="067F8009" w14:textId="77777777" w:rsidR="00CD3F8E" w:rsidRDefault="00E62BBF" w:rsidP="00162924">
      <w:pPr>
        <w:keepNext/>
        <w:rPr>
          <w:rFonts w:hint="eastAsia"/>
        </w:rPr>
      </w:pPr>
      <w:r w:rsidRPr="00BF6B8D">
        <w:rPr>
          <w:noProof/>
        </w:rPr>
        <w:drawing>
          <wp:inline distT="0" distB="0" distL="0" distR="0" wp14:anchorId="7430D773" wp14:editId="10C649B8">
            <wp:extent cx="5945783" cy="6689007"/>
            <wp:effectExtent l="19050" t="19050" r="17145" b="17145"/>
            <wp:docPr id="34842193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205029" name="Picture 22"/>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5783" cy="6689007"/>
                    </a:xfrm>
                    <a:prstGeom prst="rect">
                      <a:avLst/>
                    </a:prstGeom>
                    <a:ln>
                      <a:solidFill>
                        <a:schemeClr val="tx1"/>
                      </a:solidFill>
                    </a:ln>
                  </pic:spPr>
                </pic:pic>
              </a:graphicData>
            </a:graphic>
          </wp:inline>
        </w:drawing>
      </w:r>
    </w:p>
    <w:p w14:paraId="74D987CA" w14:textId="29E793E4" w:rsidR="00E62BBF" w:rsidRPr="00511A36" w:rsidRDefault="00CD3F8E" w:rsidP="00162924">
      <w:pPr>
        <w:pStyle w:val="Caption"/>
        <w:jc w:val="center"/>
        <w:rPr>
          <w:rFonts w:hint="eastAsia"/>
        </w:rPr>
      </w:pPr>
      <w:bookmarkStart w:id="84" w:name="_Toc233228259"/>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Pr>
          <w:b/>
          <w:bCs/>
          <w:noProof/>
        </w:rPr>
        <w:t>20</w:t>
      </w:r>
      <w:r w:rsidRPr="00162924">
        <w:rPr>
          <w:b/>
          <w:bCs/>
        </w:rPr>
        <w:fldChar w:fldCharType="end"/>
      </w:r>
      <w:r w:rsidRPr="00162924">
        <w:rPr>
          <w:rFonts w:hint="eastAsia"/>
          <w:b/>
          <w:bCs/>
        </w:rPr>
        <w:t>.</w:t>
      </w:r>
      <w:r>
        <w:t xml:space="preserve"> </w:t>
      </w:r>
      <w:r w:rsidRPr="00427772">
        <w:t>Heat CCVI in WestCOG</w:t>
      </w:r>
      <w:bookmarkEnd w:id="84"/>
    </w:p>
    <w:p w14:paraId="1A407FB6" w14:textId="77777777" w:rsidR="00CD3F8E" w:rsidRDefault="00E400B8" w:rsidP="00162924">
      <w:pPr>
        <w:keepNext/>
        <w:jc w:val="center"/>
        <w:rPr>
          <w:rFonts w:hint="eastAsia"/>
        </w:rPr>
      </w:pPr>
      <w:r w:rsidRPr="00BF6B8D">
        <w:rPr>
          <w:noProof/>
        </w:rPr>
        <w:drawing>
          <wp:inline distT="0" distB="0" distL="0" distR="0" wp14:anchorId="0B48958A" wp14:editId="7A9D79D7">
            <wp:extent cx="5948947" cy="6692565"/>
            <wp:effectExtent l="19050" t="19050" r="13970" b="13335"/>
            <wp:docPr id="207570400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13757" name="Picture 2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8947" cy="6692565"/>
                    </a:xfrm>
                    <a:prstGeom prst="rect">
                      <a:avLst/>
                    </a:prstGeom>
                    <a:ln>
                      <a:solidFill>
                        <a:schemeClr val="tx1"/>
                      </a:solidFill>
                    </a:ln>
                  </pic:spPr>
                </pic:pic>
              </a:graphicData>
            </a:graphic>
          </wp:inline>
        </w:drawing>
      </w:r>
    </w:p>
    <w:p w14:paraId="779AF27E" w14:textId="037DB2CB" w:rsidR="00E400B8" w:rsidRPr="00511A36" w:rsidRDefault="00CD3F8E" w:rsidP="00162924">
      <w:pPr>
        <w:pStyle w:val="Caption"/>
        <w:jc w:val="center"/>
        <w:rPr>
          <w:rFonts w:hint="eastAsia"/>
        </w:rPr>
      </w:pPr>
      <w:bookmarkStart w:id="85" w:name="_Toc233228260"/>
      <w:r w:rsidRPr="00162924">
        <w:rPr>
          <w:rFonts w:hint="eastAsia"/>
          <w:b/>
          <w:bCs/>
        </w:rPr>
        <w:t xml:space="preserve">Figure </w:t>
      </w:r>
      <w:r w:rsidRPr="00162924">
        <w:rPr>
          <w:b/>
          <w:bCs/>
        </w:rPr>
        <w:fldChar w:fldCharType="begin"/>
      </w:r>
      <w:r w:rsidRPr="00162924">
        <w:rPr>
          <w:rFonts w:hint="eastAsia"/>
          <w:b/>
          <w:bCs/>
        </w:rPr>
        <w:instrText xml:space="preserve"> SEQ Figure \* ARABIC </w:instrText>
      </w:r>
      <w:r w:rsidRPr="00162924">
        <w:rPr>
          <w:b/>
          <w:bCs/>
        </w:rPr>
        <w:fldChar w:fldCharType="separate"/>
      </w:r>
      <w:r w:rsidRPr="00162924">
        <w:rPr>
          <w:rFonts w:hint="eastAsia"/>
          <w:b/>
          <w:bCs/>
          <w:noProof/>
        </w:rPr>
        <w:t>21</w:t>
      </w:r>
      <w:r w:rsidRPr="00162924">
        <w:rPr>
          <w:b/>
          <w:bCs/>
        </w:rPr>
        <w:fldChar w:fldCharType="end"/>
      </w:r>
      <w:r w:rsidRPr="00162924">
        <w:rPr>
          <w:rFonts w:hint="eastAsia"/>
          <w:b/>
          <w:bCs/>
        </w:rPr>
        <w:t>.</w:t>
      </w:r>
      <w:r>
        <w:t xml:space="preserve"> </w:t>
      </w:r>
      <w:r w:rsidRPr="009508A9">
        <w:t>USDA WUI areas and Non-WUI Area Housing Density</w:t>
      </w:r>
      <w:bookmarkEnd w:id="85"/>
    </w:p>
    <w:p w14:paraId="618D9CD8" w14:textId="77777777" w:rsidR="00DF3B70" w:rsidRDefault="00DF3B70" w:rsidP="00DF3B70">
      <w:pPr>
        <w:rPr>
          <w:rFonts w:hint="eastAsia"/>
        </w:rPr>
      </w:pPr>
    </w:p>
    <w:p w14:paraId="722E99B3" w14:textId="77777777" w:rsidR="00E400B8" w:rsidRDefault="00E400B8" w:rsidP="00DF3B70">
      <w:pPr>
        <w:rPr>
          <w:rFonts w:hint="eastAsia"/>
        </w:rPr>
      </w:pPr>
    </w:p>
    <w:p w14:paraId="34F9D421" w14:textId="77777777" w:rsidR="00E400B8" w:rsidRPr="002508EE" w:rsidRDefault="00E400B8" w:rsidP="00DF3B70">
      <w:pPr>
        <w:rPr>
          <w:rFonts w:hint="eastAsia"/>
        </w:rPr>
      </w:pPr>
    </w:p>
    <w:p w14:paraId="3E68CDD1" w14:textId="24B818E4" w:rsidR="009F3A72" w:rsidRPr="002508EE" w:rsidRDefault="009F3A72" w:rsidP="009F3A72">
      <w:pPr>
        <w:pStyle w:val="Heading1"/>
        <w:rPr>
          <w:rFonts w:hint="eastAsia"/>
        </w:rPr>
      </w:pPr>
      <w:bookmarkStart w:id="86" w:name="_Ref228454079"/>
      <w:bookmarkStart w:id="87" w:name="_Toc233228238"/>
      <w:r w:rsidRPr="002508EE">
        <w:t xml:space="preserve">Appendix B: </w:t>
      </w:r>
      <w:r w:rsidR="0081513F">
        <w:t xml:space="preserve">Flood Risk </w:t>
      </w:r>
      <w:r w:rsidRPr="002508EE">
        <w:t>Data Sources</w:t>
      </w:r>
      <w:bookmarkEnd w:id="86"/>
      <w:bookmarkEnd w:id="87"/>
    </w:p>
    <w:p w14:paraId="00FB29B0" w14:textId="77777777" w:rsidR="009C7720" w:rsidRDefault="009C7720" w:rsidP="006B1000">
      <w:pPr>
        <w:spacing w:after="0"/>
        <w:rPr>
          <w:rFonts w:hint="eastAsia"/>
        </w:rPr>
      </w:pPr>
    </w:p>
    <w:p w14:paraId="18379933" w14:textId="3A642881" w:rsidR="009C7720" w:rsidRDefault="009C7720" w:rsidP="00734799">
      <w:pPr>
        <w:pStyle w:val="Heading2"/>
        <w:rPr>
          <w:rFonts w:hint="eastAsia"/>
        </w:rPr>
      </w:pPr>
      <w:bookmarkStart w:id="88" w:name="_Toc233228239"/>
      <w:r>
        <w:t>F</w:t>
      </w:r>
      <w:r w:rsidR="0004733F">
        <w:t xml:space="preserve">EMA </w:t>
      </w:r>
      <w:r>
        <w:t>Flood Hazard Information</w:t>
      </w:r>
      <w:bookmarkEnd w:id="88"/>
    </w:p>
    <w:p w14:paraId="13EF42DE" w14:textId="4D3EE33A" w:rsidR="004D42B8" w:rsidRPr="00734799" w:rsidRDefault="009C7720" w:rsidP="004D42B8">
      <w:pPr>
        <w:rPr>
          <w:rFonts w:hint="eastAsia"/>
        </w:rPr>
      </w:pPr>
      <w:r w:rsidRPr="002508EE">
        <w:t xml:space="preserve">To understand current impacts to the WestCOG region, FEMA’s National Flood Hazard Layer (NFHL), a geospatial database containing current effective flood hazard data, was </w:t>
      </w:r>
      <w:r>
        <w:t>evaluated.</w:t>
      </w:r>
      <w:r w:rsidRPr="002508EE">
        <w:t xml:space="preserve"> Within this dataset, flood zone information is available geospatially for all of Fairfield County, yet, within the NFHL, there is no data available for Litchfield County. To compensate for this missing information, the 1% annual chance floodplain, otherwise known as the 100-year floodplain, from FEMA’s Hazus tool output used in the 2023 </w:t>
      </w:r>
      <w:r w:rsidR="00D6724E">
        <w:t>CT NHMP</w:t>
      </w:r>
      <w:r w:rsidRPr="002508EE">
        <w:t xml:space="preserve"> was downloaded. The 0.2% annual chance floodplain, otherwise known as the 500-year floodplain, was pulled from the NFHL only for Fairfield County.</w:t>
      </w:r>
      <w:r w:rsidR="007151A3">
        <w:t xml:space="preserve"> A map</w:t>
      </w:r>
      <w:r w:rsidRPr="002508EE">
        <w:t xml:space="preserve"> of the 1% and 0.2% annual chance floodplains within the WestCOG region</w:t>
      </w:r>
      <w:r w:rsidR="007151A3">
        <w:t xml:space="preserve"> can be found in </w:t>
      </w:r>
      <w:r w:rsidR="007151A3" w:rsidRPr="00843358">
        <w:fldChar w:fldCharType="begin" w:fldLock="1"/>
      </w:r>
      <w:r w:rsidR="007151A3" w:rsidRPr="00843358">
        <w:instrText xml:space="preserve"> REF _Ref228512228 \h </w:instrText>
      </w:r>
      <w:r w:rsidR="005E43AE" w:rsidRPr="00843358">
        <w:instrText xml:space="preserve"> \* MERGEFORMAT </w:instrText>
      </w:r>
      <w:r w:rsidR="007151A3" w:rsidRPr="00843358">
        <w:fldChar w:fldCharType="separate"/>
      </w:r>
      <w:r w:rsidR="00AB64CB" w:rsidRPr="002508EE">
        <w:rPr>
          <w:rFonts w:eastAsia="Arial"/>
        </w:rPr>
        <w:t>Appendix A: Maps</w:t>
      </w:r>
      <w:r w:rsidR="007151A3" w:rsidRPr="00843358">
        <w:fldChar w:fldCharType="end"/>
      </w:r>
      <w:r w:rsidRPr="00843358">
        <w:t xml:space="preserve">. </w:t>
      </w:r>
    </w:p>
    <w:sectPr w:rsidR="004D42B8" w:rsidRPr="00734799" w:rsidSect="00162924">
      <w:type w:val="continuous"/>
      <w:pgSz w:w="12240" w:h="15840" w:code="1"/>
      <w:pgMar w:top="1440" w:right="1440" w:bottom="1260" w:left="1440" w:header="576" w:footer="540" w:gutter="0"/>
      <w:cols w:space="36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121CC" w14:textId="77777777" w:rsidR="005258A7" w:rsidRPr="00511A36" w:rsidRDefault="005258A7" w:rsidP="007B77C1">
      <w:pPr>
        <w:spacing w:after="0"/>
        <w:rPr>
          <w:rFonts w:hint="eastAsia"/>
        </w:rPr>
      </w:pPr>
      <w:r w:rsidRPr="00511A36">
        <w:separator/>
      </w:r>
    </w:p>
    <w:p w14:paraId="73CA8006" w14:textId="77777777" w:rsidR="005258A7" w:rsidRPr="00511A36" w:rsidRDefault="005258A7">
      <w:pPr>
        <w:rPr>
          <w:rFonts w:hint="eastAsia"/>
        </w:rPr>
      </w:pPr>
    </w:p>
  </w:endnote>
  <w:endnote w:type="continuationSeparator" w:id="0">
    <w:p w14:paraId="6843A0EF" w14:textId="77777777" w:rsidR="005258A7" w:rsidRPr="00511A36" w:rsidRDefault="005258A7" w:rsidP="007B77C1">
      <w:pPr>
        <w:spacing w:after="0"/>
        <w:rPr>
          <w:rFonts w:hint="eastAsia"/>
        </w:rPr>
      </w:pPr>
      <w:r w:rsidRPr="00511A36">
        <w:continuationSeparator/>
      </w:r>
    </w:p>
    <w:p w14:paraId="0581E890" w14:textId="77777777" w:rsidR="005258A7" w:rsidRPr="00511A36" w:rsidRDefault="005258A7">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Lato Black">
    <w:altName w:val="Segoe UI"/>
    <w:panose1 w:val="00000000000000000000"/>
    <w:charset w:val="00"/>
    <w:family w:val="roman"/>
    <w:notTrueType/>
    <w:pitch w:val="default"/>
  </w:font>
  <w:font w:name="MS Mincho">
    <w:altName w:val="Yu Gothic"/>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Lato">
    <w:altName w:val="Segoe UI"/>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Open Sans Light">
    <w:charset w:val="00"/>
    <w:family w:val="swiss"/>
    <w:pitch w:val="variable"/>
    <w:sig w:usb0="E00002EF" w:usb1="4000205B" w:usb2="00000028" w:usb3="00000000" w:csb0="0000019F" w:csb1="00000000"/>
  </w:font>
  <w:font w:name="Open Sans">
    <w:charset w:val="00"/>
    <w:family w:val="swiss"/>
    <w:pitch w:val="variable"/>
    <w:sig w:usb0="E00002EF" w:usb1="4000205B" w:usb2="00000028" w:usb3="00000000" w:csb0="0000019F" w:csb1="00000000"/>
  </w:font>
  <w:font w:name="Proxima Nova Light">
    <w:charset w:val="00"/>
    <w:family w:val="modern"/>
    <w:notTrueType/>
    <w:pitch w:val="variable"/>
    <w:sig w:usb0="A00002EF" w:usb1="5000E0FB"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Proxima Nova Extrabold">
    <w:altName w:val="Tahoma"/>
    <w:charset w:val="00"/>
    <w:family w:val="modern"/>
    <w:notTrueType/>
    <w:pitch w:val="variable"/>
    <w:sig w:usb0="A00002EF" w:usb1="5000E0FB" w:usb2="00000000" w:usb3="00000000" w:csb0="0000019F" w:csb1="00000000"/>
  </w:font>
  <w:font w:name="Arial Narrow">
    <w:altName w:val="Arial"/>
    <w:charset w:val="00"/>
    <w:family w:val="swiss"/>
    <w:pitch w:val="variable"/>
    <w:sig w:usb0="00000287" w:usb1="00000800" w:usb2="00000000" w:usb3="00000000" w:csb0="0000009F" w:csb1="00000000"/>
  </w:font>
  <w:font w:name="Proxima Nova Medium">
    <w:charset w:val="00"/>
    <w:family w:val="modern"/>
    <w:notTrueType/>
    <w:pitch w:val="variable"/>
    <w:sig w:usb0="A00002EF" w:usb1="5000E0FB" w:usb2="00000000" w:usb3="00000000" w:csb0="0000019F" w:csb1="00000000"/>
  </w:font>
  <w:font w:name="Segoe UI">
    <w:panose1 w:val="020B0502040204020203"/>
    <w:charset w:val="00"/>
    <w:family w:val="swiss"/>
    <w:pitch w:val="variable"/>
    <w:sig w:usb0="E4002EFF" w:usb1="C000E47F" w:usb2="00000009" w:usb3="00000000" w:csb0="000001FF" w:csb1="00000000"/>
  </w:font>
  <w:font w:name="Sitka Subheading">
    <w:panose1 w:val="00000000000000000000"/>
    <w:charset w:val="00"/>
    <w:family w:val="auto"/>
    <w:pitch w:val="variable"/>
    <w:sig w:usb0="A00002EF" w:usb1="4000204B" w:usb2="00000000" w:usb3="00000000" w:csb0="0000019F" w:csb1="00000000"/>
  </w:font>
  <w:font w:name="Proxima Nova Semibold">
    <w:charset w:val="00"/>
    <w:family w:val="modern"/>
    <w:notTrueType/>
    <w:pitch w:val="variable"/>
    <w:sig w:usb0="A00002EF" w:usb1="5000E0FB" w:usb2="00000000" w:usb3="00000000" w:csb0="0000019F" w:csb1="00000000"/>
  </w:font>
  <w:font w:name="Open Sans Semibold">
    <w:charset w:val="00"/>
    <w:family w:val="swiss"/>
    <w:pitch w:val="variable"/>
    <w:sig w:usb0="E00002EF" w:usb1="4000205B" w:usb2="00000028" w:usb3="00000000" w:csb0="0000019F" w:csb1="00000000"/>
  </w:font>
  <w:font w:name="Open Sans Extrabold">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260" w:type="dxa"/>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9720"/>
    </w:tblGrid>
    <w:tr w:rsidR="00BB1F8E" w:rsidRPr="00511A36" w14:paraId="43836141" w14:textId="77777777" w:rsidTr="00D02CE2">
      <w:trPr>
        <w:trHeight w:val="439"/>
      </w:trPr>
      <w:tc>
        <w:tcPr>
          <w:tcW w:w="540" w:type="dxa"/>
          <w:vAlign w:val="center"/>
        </w:tcPr>
        <w:p w14:paraId="2DB75391" w14:textId="77777777" w:rsidR="00BB1F8E" w:rsidRPr="00511A36" w:rsidRDefault="00BB1F8E" w:rsidP="00142219">
          <w:pPr>
            <w:ind w:left="77"/>
            <w:rPr>
              <w:rFonts w:hint="eastAsia"/>
            </w:rPr>
          </w:pPr>
          <w:r w:rsidRPr="00511A36">
            <w:rPr>
              <w:rFonts w:ascii="Proxima Nova Extrabold" w:hAnsi="Proxima Nova Extrabold" w:cs="Open Sans"/>
              <w:b/>
              <w:color w:val="FFFFFF" w:themeColor="background2"/>
              <w:szCs w:val="20"/>
            </w:rPr>
            <w:fldChar w:fldCharType="begin"/>
          </w:r>
          <w:r w:rsidRPr="00511A36">
            <w:rPr>
              <w:rFonts w:ascii="Proxima Nova Extrabold" w:hAnsi="Proxima Nova Extrabold" w:cs="Open Sans"/>
              <w:b/>
              <w:color w:val="FFFFFF" w:themeColor="background2"/>
              <w:szCs w:val="20"/>
            </w:rPr>
            <w:instrText xml:space="preserve"> PAGE   \* MERGEFORMAT </w:instrText>
          </w:r>
          <w:r w:rsidRPr="00511A36">
            <w:rPr>
              <w:rFonts w:ascii="Proxima Nova Extrabold" w:hAnsi="Proxima Nova Extrabold" w:cs="Open Sans"/>
              <w:b/>
              <w:color w:val="FFFFFF" w:themeColor="background2"/>
              <w:szCs w:val="20"/>
            </w:rPr>
            <w:fldChar w:fldCharType="separate"/>
          </w:r>
          <w:r w:rsidR="009149F6" w:rsidRPr="00E412A8">
            <w:rPr>
              <w:rFonts w:ascii="Proxima Nova Extrabold" w:hAnsi="Proxima Nova Extrabold" w:cs="Open Sans"/>
              <w:b/>
              <w:color w:val="FFFFFF" w:themeColor="background2"/>
              <w:szCs w:val="20"/>
            </w:rPr>
            <w:t>6</w:t>
          </w:r>
          <w:r w:rsidRPr="00511A36">
            <w:rPr>
              <w:rFonts w:ascii="Proxima Nova Extrabold" w:hAnsi="Proxima Nova Extrabold" w:cs="Open Sans"/>
              <w:b/>
              <w:color w:val="FFFFFF" w:themeColor="background2"/>
              <w:szCs w:val="20"/>
            </w:rPr>
            <w:fldChar w:fldCharType="end"/>
          </w:r>
        </w:p>
      </w:tc>
      <w:tc>
        <w:tcPr>
          <w:tcW w:w="9720" w:type="dxa"/>
          <w:tcMar>
            <w:left w:w="0" w:type="dxa"/>
            <w:right w:w="0" w:type="dxa"/>
          </w:tcMar>
          <w:vAlign w:val="center"/>
        </w:tcPr>
        <w:p w14:paraId="6D0DBFC9" w14:textId="77777777" w:rsidR="00BB1F8E" w:rsidRPr="00511A36" w:rsidRDefault="00BB1F8E" w:rsidP="00142219">
          <w:pPr>
            <w:tabs>
              <w:tab w:val="center" w:pos="389"/>
              <w:tab w:val="right" w:pos="779"/>
            </w:tabs>
            <w:ind w:left="-24" w:firstLine="24"/>
            <w:rPr>
              <w:rFonts w:cs="Arial" w:hint="eastAsia"/>
              <w:color w:val="FFFFFF" w:themeColor="background1" w:themeTint="BF"/>
              <w:spacing w:val="40"/>
              <w:kern w:val="16"/>
              <w:sz w:val="16"/>
              <w:szCs w:val="16"/>
            </w:rPr>
          </w:pPr>
          <w:r w:rsidRPr="00511A36">
            <w:rPr>
              <w:rFonts w:cs="Arial"/>
              <w:color w:val="FFFFFF" w:themeColor="background1" w:themeTint="BF"/>
              <w:spacing w:val="40"/>
              <w:kern w:val="16"/>
              <w:sz w:val="16"/>
              <w:szCs w:val="16"/>
            </w:rPr>
            <w:tab/>
            <w:t>SECTION NAME</w:t>
          </w:r>
        </w:p>
      </w:tc>
    </w:tr>
    <w:tr w:rsidR="00BB1F8E" w:rsidRPr="00511A36" w14:paraId="2BBDC09C" w14:textId="77777777">
      <w:tc>
        <w:tcPr>
          <w:tcW w:w="10260" w:type="dxa"/>
          <w:gridSpan w:val="2"/>
        </w:tcPr>
        <w:p w14:paraId="2236CF5C" w14:textId="77777777" w:rsidR="00BB1F8E" w:rsidRPr="00511A36" w:rsidRDefault="00BB1F8E" w:rsidP="00142219">
          <w:pPr>
            <w:pStyle w:val="HF-ConfidentialityStatement"/>
          </w:pPr>
          <w:r w:rsidRPr="00511A36">
            <w:t>COMPANY CONFIDENTIAL AND PROPRIETARY: Use or disclosure of data contained on this sheet is subject to restriction on the title page of this proposal.</w:t>
          </w:r>
        </w:p>
      </w:tc>
    </w:tr>
  </w:tbl>
  <w:p w14:paraId="2992DF63" w14:textId="77777777" w:rsidR="00BB1F8E" w:rsidRPr="00511A36" w:rsidRDefault="00BB1F8E" w:rsidP="00D02CE2">
    <w:pPr>
      <w:pStyle w:val="HF-Title"/>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53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5"/>
      <w:gridCol w:w="7200"/>
      <w:gridCol w:w="540"/>
    </w:tblGrid>
    <w:tr w:rsidR="006746C6" w:rsidRPr="00511A36" w14:paraId="2E8D1411" w14:textId="77777777" w:rsidTr="00162924">
      <w:trPr>
        <w:trHeight w:val="439"/>
      </w:trPr>
      <w:tc>
        <w:tcPr>
          <w:tcW w:w="2795" w:type="dxa"/>
        </w:tcPr>
        <w:p w14:paraId="0290B415" w14:textId="00CEC60D" w:rsidR="006746C6" w:rsidRPr="00511A36" w:rsidRDefault="00C45DD8" w:rsidP="00224DCA">
          <w:pPr>
            <w:rPr>
              <w:rFonts w:hint="eastAsia"/>
            </w:rPr>
          </w:pPr>
          <w:r>
            <w:rPr>
              <w:noProof/>
            </w:rPr>
            <w:drawing>
              <wp:anchor distT="0" distB="0" distL="114300" distR="114300" simplePos="0" relativeHeight="251658242" behindDoc="0" locked="0" layoutInCell="1" allowOverlap="1" wp14:anchorId="79281C3F" wp14:editId="2F351EE8">
                <wp:simplePos x="0" y="0"/>
                <wp:positionH relativeFrom="column">
                  <wp:posOffset>336550</wp:posOffset>
                </wp:positionH>
                <wp:positionV relativeFrom="page">
                  <wp:posOffset>5715</wp:posOffset>
                </wp:positionV>
                <wp:extent cx="809625" cy="410210"/>
                <wp:effectExtent l="0" t="0" r="9525" b="8890"/>
                <wp:wrapNone/>
                <wp:docPr id="3104532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3994" name="Picture 2046963994"/>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9625" cy="410210"/>
                        </a:xfrm>
                        <a:prstGeom prst="rect">
                          <a:avLst/>
                        </a:prstGeom>
                      </pic:spPr>
                    </pic:pic>
                  </a:graphicData>
                </a:graphic>
                <wp14:sizeRelH relativeFrom="margin">
                  <wp14:pctWidth>0</wp14:pctWidth>
                </wp14:sizeRelH>
                <wp14:sizeRelV relativeFrom="margin">
                  <wp14:pctHeight>0</wp14:pctHeight>
                </wp14:sizeRelV>
              </wp:anchor>
            </w:drawing>
          </w:r>
          <w:r w:rsidR="00693549" w:rsidRPr="00BF6B8D">
            <w:rPr>
              <w:noProof/>
            </w:rPr>
            <w:drawing>
              <wp:anchor distT="0" distB="0" distL="114300" distR="114300" simplePos="0" relativeHeight="251658243" behindDoc="0" locked="0" layoutInCell="1" allowOverlap="1" wp14:anchorId="20C0CBE5" wp14:editId="015C106B">
                <wp:simplePos x="0" y="0"/>
                <wp:positionH relativeFrom="column">
                  <wp:posOffset>1286086</wp:posOffset>
                </wp:positionH>
                <wp:positionV relativeFrom="page">
                  <wp:posOffset>104775</wp:posOffset>
                </wp:positionV>
                <wp:extent cx="1331259" cy="203167"/>
                <wp:effectExtent l="0" t="0" r="2540" b="6985"/>
                <wp:wrapNone/>
                <wp:docPr id="1413479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79291" name="Picture 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31259" cy="203167"/>
                        </a:xfrm>
                        <a:prstGeom prst="rect">
                          <a:avLst/>
                        </a:prstGeom>
                        <a:noFill/>
                      </pic:spPr>
                    </pic:pic>
                  </a:graphicData>
                </a:graphic>
                <wp14:sizeRelH relativeFrom="page">
                  <wp14:pctWidth>0</wp14:pctWidth>
                </wp14:sizeRelH>
                <wp14:sizeRelV relativeFrom="page">
                  <wp14:pctHeight>0</wp14:pctHeight>
                </wp14:sizeRelV>
              </wp:anchor>
            </w:drawing>
          </w:r>
        </w:p>
      </w:tc>
      <w:tc>
        <w:tcPr>
          <w:tcW w:w="7200" w:type="dxa"/>
          <w:tcMar>
            <w:left w:w="0" w:type="dxa"/>
            <w:right w:w="0" w:type="dxa"/>
          </w:tcMar>
          <w:vAlign w:val="center"/>
        </w:tcPr>
        <w:p w14:paraId="04593850" w14:textId="77777777" w:rsidR="006746C6" w:rsidRPr="00511A36" w:rsidRDefault="006746C6" w:rsidP="00AB7CE0">
          <w:pPr>
            <w:pStyle w:val="HF-SectionName"/>
            <w:tabs>
              <w:tab w:val="clear" w:pos="389"/>
              <w:tab w:val="clear" w:pos="779"/>
            </w:tabs>
            <w:ind w:left="87" w:right="173" w:firstLine="0"/>
            <w:jc w:val="left"/>
            <w:rPr>
              <w:rFonts w:hint="eastAsia"/>
            </w:rPr>
          </w:pPr>
        </w:p>
      </w:tc>
      <w:tc>
        <w:tcPr>
          <w:tcW w:w="540" w:type="dxa"/>
          <w:vAlign w:val="center"/>
        </w:tcPr>
        <w:p w14:paraId="6DD20EC2" w14:textId="77777777" w:rsidR="006746C6" w:rsidRPr="00162924" w:rsidRDefault="002F1A94" w:rsidP="006746C6">
          <w:pPr>
            <w:tabs>
              <w:tab w:val="center" w:pos="389"/>
              <w:tab w:val="right" w:pos="779"/>
            </w:tabs>
            <w:ind w:left="-29" w:firstLine="29"/>
            <w:jc w:val="right"/>
            <w:rPr>
              <w:rFonts w:cs="Open Sans"/>
              <w:b/>
              <w:color w:val="332F2E" w:themeColor="accent4"/>
              <w:sz w:val="18"/>
              <w:szCs w:val="18"/>
            </w:rPr>
          </w:pPr>
          <w:r w:rsidRPr="00162924">
            <w:rPr>
              <w:rFonts w:cs="Open Sans"/>
              <w:b/>
              <w:color w:val="332F2E" w:themeColor="accent4"/>
              <w:sz w:val="18"/>
              <w:szCs w:val="18"/>
            </w:rPr>
            <w:fldChar w:fldCharType="begin"/>
          </w:r>
          <w:r w:rsidRPr="00162924">
            <w:rPr>
              <w:rFonts w:cs="Open Sans"/>
              <w:b/>
              <w:color w:val="332F2E" w:themeColor="accent4"/>
              <w:sz w:val="18"/>
              <w:szCs w:val="18"/>
            </w:rPr>
            <w:instrText xml:space="preserve"> PAGE  \* roman  \* MERGEFORMAT </w:instrText>
          </w:r>
          <w:r w:rsidRPr="00162924">
            <w:rPr>
              <w:rFonts w:cs="Open Sans"/>
              <w:b/>
              <w:color w:val="332F2E" w:themeColor="accent4"/>
              <w:sz w:val="18"/>
              <w:szCs w:val="18"/>
            </w:rPr>
            <w:fldChar w:fldCharType="separate"/>
          </w:r>
          <w:r w:rsidRPr="00162924">
            <w:rPr>
              <w:rFonts w:cs="Open Sans"/>
              <w:b/>
              <w:noProof/>
              <w:color w:val="332F2E" w:themeColor="accent4"/>
              <w:sz w:val="18"/>
              <w:szCs w:val="18"/>
            </w:rPr>
            <w:t>ii</w:t>
          </w:r>
          <w:r w:rsidRPr="00162924">
            <w:rPr>
              <w:rFonts w:cs="Open Sans"/>
              <w:b/>
              <w:color w:val="332F2E" w:themeColor="accent4"/>
              <w:sz w:val="18"/>
              <w:szCs w:val="18"/>
            </w:rPr>
            <w:fldChar w:fldCharType="end"/>
          </w:r>
        </w:p>
      </w:tc>
    </w:tr>
  </w:tbl>
  <w:p w14:paraId="75479495" w14:textId="7979BA53" w:rsidR="006746C6" w:rsidRPr="00511A36" w:rsidRDefault="006746C6" w:rsidP="006746C6">
    <w:pPr>
      <w:pStyle w:val="HF-Title"/>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C3560" w14:textId="77777777" w:rsidR="00A202AD" w:rsidRDefault="00A202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F7032" w14:textId="7D384EBE" w:rsidR="00162924" w:rsidRPr="00511A36" w:rsidRDefault="00162924" w:rsidP="006746C6">
    <w:pPr>
      <w:pStyle w:val="HF-Title"/>
      <w:rPr>
        <w:rFonts w:hint="eastAsi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26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795"/>
      <w:gridCol w:w="895"/>
      <w:gridCol w:w="6030"/>
      <w:gridCol w:w="540"/>
    </w:tblGrid>
    <w:tr w:rsidR="00D515F4" w:rsidRPr="00511A36" w14:paraId="4D91C48C" w14:textId="77777777" w:rsidTr="00210EB1">
      <w:trPr>
        <w:trHeight w:val="439"/>
      </w:trPr>
      <w:tc>
        <w:tcPr>
          <w:tcW w:w="2795" w:type="dxa"/>
          <w:shd w:val="clear" w:color="auto" w:fill="FFFFFF" w:themeFill="background1"/>
        </w:tcPr>
        <w:p w14:paraId="3E4EDD00" w14:textId="7431CD46" w:rsidR="00D515F4" w:rsidRPr="00511A36" w:rsidRDefault="00D515F4" w:rsidP="00224DCA">
          <w:pPr>
            <w:rPr>
              <w:rFonts w:hint="eastAsia"/>
            </w:rPr>
          </w:pPr>
        </w:p>
      </w:tc>
      <w:tc>
        <w:tcPr>
          <w:tcW w:w="895" w:type="dxa"/>
          <w:shd w:val="clear" w:color="auto" w:fill="FFFFFF" w:themeFill="background1"/>
          <w:tcMar>
            <w:left w:w="0" w:type="dxa"/>
            <w:right w:w="0" w:type="dxa"/>
          </w:tcMar>
          <w:vAlign w:val="center"/>
        </w:tcPr>
        <w:p w14:paraId="72811546" w14:textId="77777777" w:rsidR="00D515F4" w:rsidRPr="00511A36" w:rsidRDefault="00D515F4" w:rsidP="00AB7CE0">
          <w:pPr>
            <w:pStyle w:val="HF-SectionName"/>
            <w:tabs>
              <w:tab w:val="clear" w:pos="389"/>
              <w:tab w:val="clear" w:pos="779"/>
            </w:tabs>
            <w:ind w:left="87" w:right="173" w:firstLine="0"/>
            <w:jc w:val="left"/>
            <w:rPr>
              <w:rFonts w:hint="eastAsia"/>
            </w:rPr>
          </w:pPr>
        </w:p>
      </w:tc>
      <w:tc>
        <w:tcPr>
          <w:tcW w:w="6030" w:type="dxa"/>
          <w:shd w:val="clear" w:color="auto" w:fill="FFFFFF" w:themeFill="background1"/>
        </w:tcPr>
        <w:p w14:paraId="3EF59C01" w14:textId="359CF92E" w:rsidR="00D515F4" w:rsidRPr="00162924" w:rsidRDefault="00C45DD8" w:rsidP="00162924">
          <w:pPr>
            <w:pStyle w:val="Style1"/>
            <w:spacing w:before="240" w:after="240"/>
            <w:rPr>
              <w:rFonts w:hint="eastAsia"/>
              <w:i/>
              <w:iCs/>
            </w:rPr>
          </w:pPr>
          <w:r>
            <w:rPr>
              <w:noProof/>
            </w:rPr>
            <w:drawing>
              <wp:anchor distT="0" distB="0" distL="114300" distR="114300" simplePos="0" relativeHeight="251658241" behindDoc="0" locked="0" layoutInCell="1" allowOverlap="1" wp14:anchorId="2734685C" wp14:editId="1E488C9B">
                <wp:simplePos x="0" y="0"/>
                <wp:positionH relativeFrom="column">
                  <wp:posOffset>-1936750</wp:posOffset>
                </wp:positionH>
                <wp:positionV relativeFrom="page">
                  <wp:posOffset>8255</wp:posOffset>
                </wp:positionV>
                <wp:extent cx="809625" cy="410210"/>
                <wp:effectExtent l="0" t="0" r="9525" b="8890"/>
                <wp:wrapNone/>
                <wp:docPr id="2493833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3994" name="Picture 2046963994"/>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9625" cy="410210"/>
                        </a:xfrm>
                        <a:prstGeom prst="rect">
                          <a:avLst/>
                        </a:prstGeom>
                      </pic:spPr>
                    </pic:pic>
                  </a:graphicData>
                </a:graphic>
                <wp14:sizeRelH relativeFrom="margin">
                  <wp14:pctWidth>0</wp14:pctWidth>
                </wp14:sizeRelH>
                <wp14:sizeRelV relativeFrom="margin">
                  <wp14:pctHeight>0</wp14:pctHeight>
                </wp14:sizeRelV>
              </wp:anchor>
            </w:drawing>
          </w:r>
          <w:r w:rsidRPr="00BF6B8D">
            <w:rPr>
              <w:noProof/>
            </w:rPr>
            <w:drawing>
              <wp:anchor distT="0" distB="0" distL="114300" distR="114300" simplePos="0" relativeHeight="251658240" behindDoc="0" locked="0" layoutInCell="1" allowOverlap="1" wp14:anchorId="19F69015" wp14:editId="0CA12D03">
                <wp:simplePos x="0" y="0"/>
                <wp:positionH relativeFrom="column">
                  <wp:posOffset>-979170</wp:posOffset>
                </wp:positionH>
                <wp:positionV relativeFrom="page">
                  <wp:posOffset>106680</wp:posOffset>
                </wp:positionV>
                <wp:extent cx="1330960" cy="202565"/>
                <wp:effectExtent l="0" t="0" r="2540" b="6985"/>
                <wp:wrapNone/>
                <wp:docPr id="1367812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12331" name="Picture 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30960" cy="202565"/>
                        </a:xfrm>
                        <a:prstGeom prst="rect">
                          <a:avLst/>
                        </a:prstGeom>
                        <a:noFill/>
                      </pic:spPr>
                    </pic:pic>
                  </a:graphicData>
                </a:graphic>
                <wp14:sizeRelH relativeFrom="page">
                  <wp14:pctWidth>0</wp14:pctWidth>
                </wp14:sizeRelH>
                <wp14:sizeRelV relativeFrom="page">
                  <wp14:pctHeight>0</wp14:pctHeight>
                </wp14:sizeRelV>
              </wp:anchor>
            </w:drawing>
          </w:r>
          <w:r w:rsidRPr="00C45DD8">
            <w:rPr>
              <w:i/>
              <w:iCs/>
            </w:rPr>
            <w:t xml:space="preserve">Climate </w:t>
          </w:r>
          <w:r>
            <w:rPr>
              <w:i/>
              <w:iCs/>
            </w:rPr>
            <w:t>a</w:t>
          </w:r>
          <w:r w:rsidRPr="00C45DD8">
            <w:rPr>
              <w:i/>
              <w:iCs/>
            </w:rPr>
            <w:t>nd Stormwater Hazard Assessment</w:t>
          </w:r>
        </w:p>
      </w:tc>
      <w:tc>
        <w:tcPr>
          <w:tcW w:w="540" w:type="dxa"/>
          <w:shd w:val="clear" w:color="auto" w:fill="FFFFFF" w:themeFill="background1"/>
          <w:vAlign w:val="center"/>
        </w:tcPr>
        <w:p w14:paraId="5D1A1B2F" w14:textId="32A6AADD" w:rsidR="00D515F4" w:rsidRPr="00162924" w:rsidRDefault="00D515F4" w:rsidP="006746C6">
          <w:pPr>
            <w:tabs>
              <w:tab w:val="center" w:pos="389"/>
              <w:tab w:val="right" w:pos="779"/>
            </w:tabs>
            <w:ind w:left="-29" w:firstLine="29"/>
            <w:jc w:val="right"/>
            <w:rPr>
              <w:rFonts w:cs="Open Sans"/>
              <w:b/>
              <w:sz w:val="18"/>
              <w:szCs w:val="18"/>
            </w:rPr>
          </w:pPr>
          <w:r w:rsidRPr="00162924">
            <w:rPr>
              <w:rFonts w:cs="Open Sans"/>
              <w:b/>
              <w:color w:val="332F2E" w:themeColor="accent4"/>
              <w:sz w:val="18"/>
              <w:szCs w:val="18"/>
            </w:rPr>
            <w:fldChar w:fldCharType="begin"/>
          </w:r>
          <w:r w:rsidRPr="00162924">
            <w:rPr>
              <w:rFonts w:cs="Open Sans"/>
              <w:b/>
              <w:color w:val="332F2E" w:themeColor="accent4"/>
              <w:sz w:val="18"/>
              <w:szCs w:val="18"/>
            </w:rPr>
            <w:instrText xml:space="preserve"> PAGE  \* Arabic  \* MERGEFORMAT </w:instrText>
          </w:r>
          <w:r w:rsidRPr="00162924">
            <w:rPr>
              <w:rFonts w:cs="Open Sans"/>
              <w:b/>
              <w:color w:val="332F2E" w:themeColor="accent4"/>
              <w:sz w:val="18"/>
              <w:szCs w:val="18"/>
            </w:rPr>
            <w:fldChar w:fldCharType="separate"/>
          </w:r>
          <w:r w:rsidRPr="00162924">
            <w:rPr>
              <w:rFonts w:cs="Open Sans"/>
              <w:b/>
              <w:noProof/>
              <w:color w:val="332F2E" w:themeColor="accent4"/>
              <w:sz w:val="18"/>
              <w:szCs w:val="18"/>
            </w:rPr>
            <w:t>1</w:t>
          </w:r>
          <w:r w:rsidRPr="00162924">
            <w:rPr>
              <w:rFonts w:cs="Open Sans"/>
              <w:b/>
              <w:color w:val="332F2E" w:themeColor="accent4"/>
              <w:sz w:val="18"/>
              <w:szCs w:val="18"/>
            </w:rPr>
            <w:fldChar w:fldCharType="end"/>
          </w:r>
        </w:p>
      </w:tc>
    </w:tr>
  </w:tbl>
  <w:p w14:paraId="6C2E0CF8" w14:textId="77777777" w:rsidR="00666BA0" w:rsidRDefault="00666BA0">
    <w:pPr>
      <w:pStyle w:val="Footer"/>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C2155" w14:textId="77777777" w:rsidR="005258A7" w:rsidRPr="00511A36" w:rsidRDefault="005258A7" w:rsidP="007B77C1">
      <w:pPr>
        <w:spacing w:after="0"/>
        <w:rPr>
          <w:rFonts w:hint="eastAsia"/>
        </w:rPr>
      </w:pPr>
      <w:r w:rsidRPr="00511A36">
        <w:separator/>
      </w:r>
    </w:p>
    <w:p w14:paraId="3E7798F7" w14:textId="77777777" w:rsidR="005258A7" w:rsidRPr="00511A36" w:rsidRDefault="005258A7">
      <w:pPr>
        <w:rPr>
          <w:rFonts w:hint="eastAsia"/>
        </w:rPr>
      </w:pPr>
    </w:p>
  </w:footnote>
  <w:footnote w:type="continuationSeparator" w:id="0">
    <w:p w14:paraId="1F4F54B1" w14:textId="77777777" w:rsidR="005258A7" w:rsidRPr="00511A36" w:rsidRDefault="005258A7" w:rsidP="007B77C1">
      <w:pPr>
        <w:spacing w:after="0"/>
        <w:rPr>
          <w:rFonts w:hint="eastAsia"/>
        </w:rPr>
      </w:pPr>
      <w:r w:rsidRPr="00511A36">
        <w:continuationSeparator/>
      </w:r>
    </w:p>
    <w:p w14:paraId="4170CC63" w14:textId="77777777" w:rsidR="005258A7" w:rsidRPr="00511A36" w:rsidRDefault="005258A7">
      <w:pPr>
        <w:rPr>
          <w:rFonts w:hint="eastAsia"/>
        </w:rPr>
      </w:pPr>
    </w:p>
  </w:footnote>
  <w:footnote w:id="1">
    <w:p w14:paraId="18BEBFF5" w14:textId="77777777" w:rsidR="00CD59DB" w:rsidRPr="002508EE" w:rsidRDefault="00CD59DB" w:rsidP="00CD59DB">
      <w:pPr>
        <w:pStyle w:val="FootnoteText"/>
      </w:pPr>
      <w:r w:rsidRPr="002508EE">
        <w:rPr>
          <w:rStyle w:val="FootnoteReference"/>
        </w:rPr>
        <w:footnoteRef/>
      </w:r>
      <w:r w:rsidRPr="002508EE">
        <w:t xml:space="preserve"> PRISM Group, Oregon State University, https://prism.oregonstate.edu, accessed 13 Apr 2026.</w:t>
      </w:r>
    </w:p>
  </w:footnote>
  <w:footnote w:id="2">
    <w:p w14:paraId="2D4D3000" w14:textId="0CD72743" w:rsidR="00BE5064" w:rsidRPr="002508EE" w:rsidRDefault="00BE5064" w:rsidP="00BE5064">
      <w:pPr>
        <w:pStyle w:val="FootnoteText"/>
      </w:pPr>
      <w:r w:rsidRPr="002508EE">
        <w:rPr>
          <w:rStyle w:val="FootnoteReference"/>
        </w:rPr>
        <w:footnoteRef/>
      </w:r>
      <w:r w:rsidRPr="002508EE">
        <w:t xml:space="preserve"> </w:t>
      </w:r>
      <w:hyperlink r:id="rId1" w:history="1">
        <w:r w:rsidR="00F76648" w:rsidRPr="00AE50CD">
          <w:rPr>
            <w:rStyle w:val="Hyperlink"/>
          </w:rPr>
          <w:t>https://circa.media.uconn.edu/wp-content/uploads/sites/1618/2019/11/CTPCSAR-Aug2019.pdf</w:t>
        </w:r>
      </w:hyperlink>
      <w:r w:rsidR="00F76648">
        <w:t xml:space="preserve"> </w:t>
      </w:r>
    </w:p>
  </w:footnote>
  <w:footnote w:id="3">
    <w:p w14:paraId="05374665" w14:textId="77777777" w:rsidR="00BE5064" w:rsidRPr="002508EE" w:rsidRDefault="00BE5064" w:rsidP="00BE5064">
      <w:pPr>
        <w:pStyle w:val="FootnoteText"/>
      </w:pPr>
      <w:r w:rsidRPr="002508EE">
        <w:rPr>
          <w:rStyle w:val="FootnoteReference"/>
        </w:rPr>
        <w:footnoteRef/>
      </w:r>
      <w:r w:rsidRPr="002508EE">
        <w:t xml:space="preserve"> </w:t>
      </w:r>
      <w:hyperlink r:id="rId2" w:history="1">
        <w:r w:rsidRPr="002508EE">
          <w:rPr>
            <w:rStyle w:val="Hyperlink"/>
          </w:rPr>
          <w:t>https://www.weather.gov/media/owp/oh/hdsc/docs/Atlas14_Volume10.pdf</w:t>
        </w:r>
      </w:hyperlink>
    </w:p>
  </w:footnote>
  <w:footnote w:id="4">
    <w:p w14:paraId="349454BA" w14:textId="77777777" w:rsidR="00BE5064" w:rsidRPr="002508EE" w:rsidRDefault="00BE5064" w:rsidP="00BE5064">
      <w:pPr>
        <w:pStyle w:val="FootnoteText"/>
      </w:pPr>
      <w:r w:rsidRPr="002508EE">
        <w:rPr>
          <w:rStyle w:val="FootnoteReference"/>
        </w:rPr>
        <w:footnoteRef/>
      </w:r>
      <w:r w:rsidRPr="002508EE">
        <w:t xml:space="preserve"> </w:t>
      </w:r>
      <w:hyperlink r:id="rId3" w:anchor="/data_and_products" w:history="1">
        <w:r w:rsidRPr="002508EE">
          <w:rPr>
            <w:rStyle w:val="Hyperlink"/>
          </w:rPr>
          <w:t>https://precip.eas.cornell.edu/#/data_and_products</w:t>
        </w:r>
      </w:hyperlink>
    </w:p>
  </w:footnote>
  <w:footnote w:id="5">
    <w:p w14:paraId="210B24DF" w14:textId="77777777" w:rsidR="00994BE5" w:rsidRPr="002508EE" w:rsidRDefault="00994BE5" w:rsidP="00994BE5">
      <w:pPr>
        <w:pStyle w:val="FootnoteText"/>
      </w:pPr>
      <w:r w:rsidRPr="002508EE">
        <w:rPr>
          <w:rStyle w:val="FootnoteReference"/>
        </w:rPr>
        <w:footnoteRef/>
      </w:r>
      <w:r w:rsidRPr="002508EE">
        <w:t xml:space="preserve"> </w:t>
      </w:r>
      <w:hyperlink r:id="rId4" w:history="1">
        <w:r w:rsidRPr="002508EE">
          <w:rPr>
            <w:rStyle w:val="Hyperlink"/>
          </w:rPr>
          <w:t>https://ny-idf-projections.nrcc.cornell.edu/</w:t>
        </w:r>
      </w:hyperlink>
      <w:r w:rsidRPr="002508EE">
        <w:t xml:space="preserve"> </w:t>
      </w:r>
    </w:p>
  </w:footnote>
  <w:footnote w:id="6">
    <w:p w14:paraId="29259989" w14:textId="59260AAC" w:rsidR="008F5A9F" w:rsidRDefault="008F5A9F">
      <w:pPr>
        <w:pStyle w:val="FootnoteText"/>
      </w:pPr>
      <w:r>
        <w:rPr>
          <w:rStyle w:val="FootnoteReference"/>
        </w:rPr>
        <w:footnoteRef/>
      </w:r>
      <w:r>
        <w:t xml:space="preserve"> </w:t>
      </w:r>
      <w:hyperlink r:id="rId5" w:history="1">
        <w:r w:rsidR="00646196" w:rsidRPr="002163F3">
          <w:rPr>
            <w:rStyle w:val="Hyperlink"/>
          </w:rPr>
          <w:t>https://portal.ct.gov/-/media/deep/water/water_quality_management/guidance/swm_mar_2024.pdf?rev=1dafea8e03ca4ec98f5ec011d803f4dc&amp;hash=A49802ED8F721C491C85776C3E77CF51</w:t>
        </w:r>
      </w:hyperlink>
      <w:r w:rsidR="00646196">
        <w:t xml:space="preserve"> </w:t>
      </w:r>
    </w:p>
  </w:footnote>
  <w:footnote w:id="7">
    <w:p w14:paraId="68F934EF" w14:textId="501D221E" w:rsidR="004B332F" w:rsidRDefault="004B332F">
      <w:pPr>
        <w:pStyle w:val="FootnoteText"/>
      </w:pPr>
      <w:r>
        <w:rPr>
          <w:rStyle w:val="FootnoteReference"/>
        </w:rPr>
        <w:footnoteRef/>
      </w:r>
      <w:r>
        <w:t xml:space="preserve"> </w:t>
      </w:r>
      <w:r w:rsidRPr="004B332F">
        <w:t>https://portal.ct.gov/governor/news/press-releases/2025/09-2025/governor-lamont-announces-launch-of-online-climate-risk-mapping-tool-for-homeowners-and-businesses?language=en_US</w:t>
      </w:r>
    </w:p>
  </w:footnote>
  <w:footnote w:id="8">
    <w:p w14:paraId="32BBEC23" w14:textId="49D5FA11" w:rsidR="00E50119" w:rsidRDefault="00E50119">
      <w:pPr>
        <w:pStyle w:val="FootnoteText"/>
      </w:pPr>
      <w:r>
        <w:rPr>
          <w:rStyle w:val="FootnoteReference"/>
        </w:rPr>
        <w:footnoteRef/>
      </w:r>
      <w:r>
        <w:t xml:space="preserve"> </w:t>
      </w:r>
      <w:r w:rsidRPr="00E50119">
        <w:t>https://portal.ct.gov/cid/resource-library/free-climate-risk-mapping-tool?language=en_US</w:t>
      </w:r>
    </w:p>
  </w:footnote>
  <w:footnote w:id="9">
    <w:p w14:paraId="2C3896CA" w14:textId="77777777" w:rsidR="004D42B8" w:rsidRPr="00511A36" w:rsidRDefault="004D42B8" w:rsidP="004D42B8">
      <w:pPr>
        <w:pStyle w:val="FootnoteText"/>
      </w:pPr>
      <w:r w:rsidRPr="00511A36">
        <w:rPr>
          <w:rStyle w:val="FootnoteReference"/>
        </w:rPr>
        <w:footnoteRef/>
      </w:r>
      <w:r w:rsidRPr="00511A36">
        <w:t xml:space="preserve"> https://toolkit.climate.gov/sites/default/files/2025-07/NCA5_2023_FullReport.pdf</w:t>
      </w:r>
    </w:p>
  </w:footnote>
  <w:footnote w:id="10">
    <w:p w14:paraId="11FD90B6" w14:textId="77777777" w:rsidR="004D42B8" w:rsidRPr="00511A36" w:rsidRDefault="004D42B8" w:rsidP="004D42B8">
      <w:pPr>
        <w:pStyle w:val="FootnoteText"/>
      </w:pPr>
      <w:r w:rsidRPr="00511A36">
        <w:rPr>
          <w:rStyle w:val="FootnoteReference"/>
        </w:rPr>
        <w:footnoteRef/>
      </w:r>
      <w:r w:rsidRPr="00511A36">
        <w:t xml:space="preserve"> https://tidesandcurrents.noaa.gov/sltrends/</w:t>
      </w:r>
    </w:p>
  </w:footnote>
  <w:footnote w:id="11">
    <w:p w14:paraId="47A55AFA" w14:textId="77777777" w:rsidR="004D42B8" w:rsidRPr="00511A36" w:rsidRDefault="004D42B8" w:rsidP="004D42B8">
      <w:pPr>
        <w:pStyle w:val="FootnoteText"/>
      </w:pPr>
      <w:r w:rsidRPr="00511A36">
        <w:rPr>
          <w:rStyle w:val="FootnoteReference"/>
        </w:rPr>
        <w:footnoteRef/>
      </w:r>
      <w:r w:rsidRPr="00511A36">
        <w:t xml:space="preserve"> </w:t>
      </w:r>
      <w:r w:rsidRPr="00734799">
        <w:rPr>
          <w:sz w:val="19"/>
          <w:szCs w:val="19"/>
        </w:rPr>
        <w:t>https://circa.uconn.edu/wp-content/uploads/sites/1618/2019/02/SeaLevelRiseConnecticut-Final-Report-1.pdf</w:t>
      </w:r>
    </w:p>
  </w:footnote>
  <w:footnote w:id="12">
    <w:p w14:paraId="7B1984DA" w14:textId="77777777" w:rsidR="00222D93" w:rsidRDefault="00222D93" w:rsidP="00222D93">
      <w:pPr>
        <w:pStyle w:val="FootnoteText"/>
      </w:pPr>
      <w:r>
        <w:rPr>
          <w:rStyle w:val="FootnoteReference"/>
        </w:rPr>
        <w:footnoteRef/>
      </w:r>
      <w:r>
        <w:t xml:space="preserve"> </w:t>
      </w:r>
      <w:r w:rsidRPr="00280000">
        <w:t>https://circa.uconn.edu/sea-level-rise-and-storm-surge-viewer/</w:t>
      </w:r>
    </w:p>
  </w:footnote>
  <w:footnote w:id="13">
    <w:p w14:paraId="63D31836" w14:textId="77777777" w:rsidR="00280000" w:rsidRPr="00E747FD" w:rsidRDefault="00280000" w:rsidP="00280000">
      <w:pPr>
        <w:pStyle w:val="FootnoteText"/>
        <w:rPr>
          <w:lang w:val="fr-FR"/>
        </w:rPr>
      </w:pPr>
      <w:r w:rsidRPr="00511A36">
        <w:rPr>
          <w:rStyle w:val="FootnoteReference"/>
        </w:rPr>
        <w:footnoteRef/>
      </w:r>
      <w:r w:rsidRPr="00E747FD">
        <w:rPr>
          <w:lang w:val="fr-FR"/>
        </w:rPr>
        <w:t xml:space="preserve"> CT Environmental Conditions Online (ECO) </w:t>
      </w:r>
    </w:p>
  </w:footnote>
  <w:footnote w:id="14">
    <w:p w14:paraId="4AC48FA1" w14:textId="1F134EA2" w:rsidR="003B6369" w:rsidRPr="00734799" w:rsidRDefault="003B6369">
      <w:pPr>
        <w:pStyle w:val="FootnoteText"/>
        <w:rPr>
          <w:lang w:val="fr-FR"/>
        </w:rPr>
      </w:pPr>
      <w:r>
        <w:rPr>
          <w:rStyle w:val="FootnoteReference"/>
        </w:rPr>
        <w:footnoteRef/>
      </w:r>
      <w:r w:rsidRPr="00734799">
        <w:rPr>
          <w:lang w:val="fr-FR"/>
        </w:rPr>
        <w:t xml:space="preserve"> https://blog.response.restoration.noaa.gov/dangers-storm-surge-and-flooding</w:t>
      </w:r>
    </w:p>
  </w:footnote>
  <w:footnote w:id="15">
    <w:p w14:paraId="49EE3E4E" w14:textId="77777777" w:rsidR="00B30890" w:rsidRPr="00E747FD" w:rsidRDefault="00B30890" w:rsidP="00B30890">
      <w:pPr>
        <w:pStyle w:val="FootnoteText"/>
        <w:rPr>
          <w:lang w:val="fr-FR"/>
        </w:rPr>
      </w:pPr>
      <w:r w:rsidRPr="00511A36">
        <w:rPr>
          <w:rStyle w:val="FootnoteReference"/>
        </w:rPr>
        <w:footnoteRef/>
      </w:r>
      <w:r w:rsidRPr="00E747FD">
        <w:rPr>
          <w:lang w:val="fr-FR"/>
        </w:rPr>
        <w:t xml:space="preserve"> https://resilientconnecticut.uconn.edu/datasets/connecticut-sea-level-rise-viewer/</w:t>
      </w:r>
    </w:p>
  </w:footnote>
  <w:footnote w:id="16">
    <w:p w14:paraId="50ECB4F8" w14:textId="24DDA6C7" w:rsidR="00E73BBA" w:rsidRPr="00734799" w:rsidRDefault="00E73BBA">
      <w:pPr>
        <w:pStyle w:val="FootnoteText"/>
        <w:rPr>
          <w:lang w:val="fr-FR"/>
        </w:rPr>
      </w:pPr>
      <w:r>
        <w:rPr>
          <w:rStyle w:val="FootnoteReference"/>
        </w:rPr>
        <w:footnoteRef/>
      </w:r>
      <w:r w:rsidRPr="00734799">
        <w:rPr>
          <w:lang w:val="fr-FR"/>
        </w:rPr>
        <w:t xml:space="preserve"> https://vulnerability.circa.uconn.edu/</w:t>
      </w:r>
    </w:p>
  </w:footnote>
  <w:footnote w:id="17">
    <w:p w14:paraId="23571A9D" w14:textId="77777777" w:rsidR="004D42B8" w:rsidRPr="00734799" w:rsidRDefault="004D42B8" w:rsidP="004D42B8">
      <w:pPr>
        <w:pStyle w:val="FootnoteText"/>
        <w:rPr>
          <w:lang w:val="fr-FR"/>
        </w:rPr>
      </w:pPr>
      <w:r w:rsidRPr="00511A36">
        <w:rPr>
          <w:rStyle w:val="FootnoteReference"/>
        </w:rPr>
        <w:footnoteRef/>
      </w:r>
      <w:r w:rsidRPr="00734799">
        <w:rPr>
          <w:lang w:val="fr-FR"/>
        </w:rPr>
        <w:t xml:space="preserve"> https://www.epa.gov/heatislands/learn-about-heat-island-effects</w:t>
      </w:r>
    </w:p>
  </w:footnote>
  <w:footnote w:id="18">
    <w:p w14:paraId="5FA4B966" w14:textId="77777777" w:rsidR="004D42B8" w:rsidRPr="00734799" w:rsidRDefault="004D42B8" w:rsidP="004D42B8">
      <w:pPr>
        <w:pStyle w:val="FootnoteText"/>
        <w:rPr>
          <w:lang w:val="fr-FR"/>
        </w:rPr>
      </w:pPr>
      <w:r w:rsidRPr="00511A36">
        <w:rPr>
          <w:rStyle w:val="FootnoteReference"/>
        </w:rPr>
        <w:footnoteRef/>
      </w:r>
      <w:r w:rsidRPr="00734799">
        <w:rPr>
          <w:lang w:val="fr-FR"/>
        </w:rPr>
        <w:t xml:space="preserve"> https://www.rff.org/publications/explainers/urban-heat-islands-101/</w:t>
      </w:r>
    </w:p>
  </w:footnote>
  <w:footnote w:id="19">
    <w:p w14:paraId="4D695904" w14:textId="77777777" w:rsidR="004D42B8" w:rsidRPr="00734799" w:rsidRDefault="004D42B8" w:rsidP="004D42B8">
      <w:pPr>
        <w:pStyle w:val="FootnoteText"/>
        <w:rPr>
          <w:lang w:val="fr-FR"/>
        </w:rPr>
      </w:pPr>
      <w:r w:rsidRPr="00511A36">
        <w:rPr>
          <w:rStyle w:val="FootnoteReference"/>
        </w:rPr>
        <w:footnoteRef/>
      </w:r>
      <w:r w:rsidRPr="00734799">
        <w:rPr>
          <w:lang w:val="fr-FR"/>
        </w:rPr>
        <w:t xml:space="preserve"> https://circa.media.uconn.edu/wp-content/uploads/sites/1618/2019/11/CTPCSAR-Aug2019.pdf</w:t>
      </w:r>
    </w:p>
  </w:footnote>
  <w:footnote w:id="20">
    <w:p w14:paraId="24992B9C" w14:textId="0287AA0C" w:rsidR="00190DBF" w:rsidRPr="00734799" w:rsidRDefault="00190DBF">
      <w:pPr>
        <w:pStyle w:val="FootnoteText"/>
        <w:rPr>
          <w:lang w:val="fr-FR"/>
        </w:rPr>
      </w:pPr>
      <w:r>
        <w:rPr>
          <w:rStyle w:val="FootnoteReference"/>
        </w:rPr>
        <w:footnoteRef/>
      </w:r>
      <w:r w:rsidRPr="00734799">
        <w:rPr>
          <w:lang w:val="fr-FR"/>
        </w:rPr>
        <w:t xml:space="preserve"> https://portal.ct.gov/das/home/office-of-state-building-inspector/connecticut-state-building-code/regulations?language=en_US</w:t>
      </w:r>
    </w:p>
  </w:footnote>
  <w:footnote w:id="21">
    <w:p w14:paraId="5D88DBEC" w14:textId="77777777" w:rsidR="004D42B8" w:rsidRPr="00734799" w:rsidRDefault="004D42B8" w:rsidP="004D42B8">
      <w:pPr>
        <w:pStyle w:val="FootnoteText"/>
        <w:rPr>
          <w:lang w:val="fr-FR"/>
        </w:rPr>
      </w:pPr>
      <w:r w:rsidRPr="00511A36">
        <w:rPr>
          <w:rStyle w:val="FootnoteReference"/>
        </w:rPr>
        <w:footnoteRef/>
      </w:r>
      <w:r w:rsidRPr="00734799">
        <w:rPr>
          <w:lang w:val="fr-FR"/>
        </w:rPr>
        <w:t xml:space="preserve"> https://circa.media.uconn.edu/wp-content/uploads/sites/1618/2019/11/CTPCSAR-Aug2019.pdf</w:t>
      </w:r>
    </w:p>
  </w:footnote>
  <w:footnote w:id="22">
    <w:p w14:paraId="6669D508" w14:textId="77777777" w:rsidR="004D42B8" w:rsidRPr="00734799" w:rsidRDefault="004D42B8" w:rsidP="004D42B8">
      <w:pPr>
        <w:pStyle w:val="FootnoteText"/>
        <w:rPr>
          <w:lang w:val="fr-FR"/>
        </w:rPr>
      </w:pPr>
      <w:r w:rsidRPr="00511A36">
        <w:rPr>
          <w:rStyle w:val="FootnoteReference"/>
        </w:rPr>
        <w:footnoteRef/>
      </w:r>
      <w:r w:rsidRPr="00734799">
        <w:rPr>
          <w:lang w:val="fr-FR"/>
        </w:rPr>
        <w:t xml:space="preserve"> https://research.fs.usda.gov/nrs/projects/wuigrowth</w:t>
      </w:r>
    </w:p>
  </w:footnote>
  <w:footnote w:id="23">
    <w:p w14:paraId="051E8E1E" w14:textId="77777777" w:rsidR="004D42B8" w:rsidRPr="00AE56D9" w:rsidRDefault="004D42B8" w:rsidP="004D42B8">
      <w:pPr>
        <w:pStyle w:val="FootnoteText"/>
        <w:rPr>
          <w:lang w:val="fr-FR"/>
        </w:rPr>
      </w:pPr>
      <w:r w:rsidRPr="00511A36">
        <w:rPr>
          <w:rStyle w:val="FootnoteReference"/>
        </w:rPr>
        <w:footnoteRef/>
      </w:r>
      <w:r w:rsidRPr="00734799">
        <w:rPr>
          <w:lang w:val="fr-FR"/>
        </w:rPr>
        <w:t xml:space="preserve"> https://portal.ct.gov/deep/news-releases/news-releases---2025/deep-reminds-residents-to-exercise-caution-during-spring-brush-fire-season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84724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6D8012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4746D49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6020A4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41249F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B7825E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98AAD8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3EC898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3B26DA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F7A380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67FFB"/>
    <w:multiLevelType w:val="hybridMultilevel"/>
    <w:tmpl w:val="BFA6CF6C"/>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1402042"/>
    <w:multiLevelType w:val="hybridMultilevel"/>
    <w:tmpl w:val="C4A43DE4"/>
    <w:lvl w:ilvl="0" w:tplc="FFFFFFFF">
      <w:start w:val="1"/>
      <w:numFmt w:val="bullet"/>
      <w:lvlText w:val=""/>
      <w:lvlJc w:val="left"/>
      <w:pPr>
        <w:ind w:left="720" w:hanging="360"/>
      </w:pPr>
      <w:rPr>
        <w:rFonts w:ascii="Symbol" w:hAnsi="Symbol" w:hint="default"/>
        <w:color w:val="6FAD45" w:themeColor="accent1"/>
      </w:rPr>
    </w:lvl>
    <w:lvl w:ilvl="1" w:tplc="4810E7BE">
      <w:start w:val="1"/>
      <w:numFmt w:val="bullet"/>
      <w:lvlText w:val=""/>
      <w:lvlJc w:val="left"/>
      <w:pPr>
        <w:ind w:left="720" w:hanging="360"/>
      </w:pPr>
      <w:rPr>
        <w:rFonts w:ascii="Symbol" w:hAnsi="Symbol" w:hint="default"/>
        <w:color w:val="4970B7" w:themeColor="accent3"/>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2077880"/>
    <w:multiLevelType w:val="multilevel"/>
    <w:tmpl w:val="95820C34"/>
    <w:lvl w:ilvl="0">
      <w:start w:val="1"/>
      <w:numFmt w:val="bullet"/>
      <w:lvlText w:val=""/>
      <w:lvlJc w:val="left"/>
      <w:pPr>
        <w:ind w:left="360" w:hanging="360"/>
      </w:pPr>
      <w:rPr>
        <w:rFonts w:ascii="Symbol" w:hAnsi="Symbol" w:hint="default"/>
        <w:color w:val="FFFFFF" w:themeColor="background2"/>
        <w:sz w:val="18"/>
      </w:rPr>
    </w:lvl>
    <w:lvl w:ilvl="1">
      <w:start w:val="1"/>
      <w:numFmt w:val="bullet"/>
      <w:suff w:val="space"/>
      <w:lvlText w:val=""/>
      <w:lvlJc w:val="left"/>
      <w:pPr>
        <w:ind w:left="418" w:hanging="130"/>
      </w:pPr>
      <w:rPr>
        <w:rFonts w:ascii="Symbol" w:hAnsi="Symbol" w:hint="default"/>
        <w:color w:val="FFD967" w:themeColor="accent2"/>
        <w:sz w:val="18"/>
      </w:rPr>
    </w:lvl>
    <w:lvl w:ilvl="2">
      <w:start w:val="1"/>
      <w:numFmt w:val="bullet"/>
      <w:suff w:val="space"/>
      <w:lvlText w:val=""/>
      <w:lvlJc w:val="left"/>
      <w:pPr>
        <w:ind w:left="706" w:hanging="130"/>
      </w:pPr>
      <w:rPr>
        <w:rFonts w:ascii="Symbol" w:hAnsi="Symbol" w:hint="default"/>
        <w:color w:val="FFD967" w:themeColor="accent2"/>
        <w:sz w:val="18"/>
      </w:rPr>
    </w:lvl>
    <w:lvl w:ilvl="3">
      <w:start w:val="1"/>
      <w:numFmt w:val="bullet"/>
      <w:suff w:val="space"/>
      <w:lvlText w:val=""/>
      <w:lvlJc w:val="left"/>
      <w:pPr>
        <w:ind w:left="994" w:hanging="130"/>
      </w:pPr>
      <w:rPr>
        <w:rFonts w:ascii="Symbol" w:hAnsi="Symbol" w:hint="default"/>
        <w:color w:val="FFD967" w:themeColor="accent2"/>
        <w:sz w:val="18"/>
      </w:rPr>
    </w:lvl>
    <w:lvl w:ilvl="4">
      <w:start w:val="1"/>
      <w:numFmt w:val="bullet"/>
      <w:suff w:val="space"/>
      <w:lvlText w:val=""/>
      <w:lvlJc w:val="left"/>
      <w:pPr>
        <w:ind w:left="1282" w:hanging="130"/>
      </w:pPr>
      <w:rPr>
        <w:rFonts w:ascii="Symbol" w:hAnsi="Symbol" w:hint="default"/>
        <w:color w:val="FFD967" w:themeColor="accent2"/>
        <w:sz w:val="18"/>
      </w:rPr>
    </w:lvl>
    <w:lvl w:ilvl="5">
      <w:start w:val="1"/>
      <w:numFmt w:val="bullet"/>
      <w:suff w:val="space"/>
      <w:lvlText w:val=""/>
      <w:lvlJc w:val="left"/>
      <w:pPr>
        <w:ind w:left="1570" w:hanging="130"/>
      </w:pPr>
      <w:rPr>
        <w:rFonts w:ascii="Symbol" w:hAnsi="Symbol" w:hint="default"/>
        <w:color w:val="FFD967" w:themeColor="accent2"/>
        <w:sz w:val="18"/>
      </w:rPr>
    </w:lvl>
    <w:lvl w:ilvl="6">
      <w:start w:val="1"/>
      <w:numFmt w:val="bullet"/>
      <w:suff w:val="space"/>
      <w:lvlText w:val=""/>
      <w:lvlJc w:val="left"/>
      <w:pPr>
        <w:ind w:left="1858" w:hanging="130"/>
      </w:pPr>
      <w:rPr>
        <w:rFonts w:ascii="Symbol" w:hAnsi="Symbol" w:hint="default"/>
        <w:color w:val="FFD967" w:themeColor="accent2"/>
        <w:sz w:val="18"/>
      </w:rPr>
    </w:lvl>
    <w:lvl w:ilvl="7">
      <w:start w:val="1"/>
      <w:numFmt w:val="bullet"/>
      <w:suff w:val="space"/>
      <w:lvlText w:val=""/>
      <w:lvlJc w:val="left"/>
      <w:pPr>
        <w:ind w:left="2146" w:hanging="130"/>
      </w:pPr>
      <w:rPr>
        <w:rFonts w:ascii="Symbol" w:hAnsi="Symbol" w:hint="default"/>
        <w:color w:val="FFD967" w:themeColor="accent2"/>
        <w:sz w:val="18"/>
      </w:rPr>
    </w:lvl>
    <w:lvl w:ilvl="8">
      <w:start w:val="1"/>
      <w:numFmt w:val="bullet"/>
      <w:suff w:val="space"/>
      <w:lvlText w:val=""/>
      <w:lvlJc w:val="left"/>
      <w:pPr>
        <w:ind w:left="2434" w:hanging="130"/>
      </w:pPr>
      <w:rPr>
        <w:rFonts w:ascii="Symbol" w:hAnsi="Symbol" w:hint="default"/>
        <w:color w:val="FFD967" w:themeColor="accent2"/>
        <w:sz w:val="18"/>
      </w:rPr>
    </w:lvl>
  </w:abstractNum>
  <w:abstractNum w:abstractNumId="13" w15:restartNumberingAfterBreak="0">
    <w:nsid w:val="03050F6F"/>
    <w:multiLevelType w:val="hybridMultilevel"/>
    <w:tmpl w:val="CCF8D474"/>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556571A"/>
    <w:multiLevelType w:val="hybridMultilevel"/>
    <w:tmpl w:val="6012E5C4"/>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C117AE"/>
    <w:multiLevelType w:val="hybridMultilevel"/>
    <w:tmpl w:val="EF5E773E"/>
    <w:lvl w:ilvl="0" w:tplc="750CA704">
      <w:start w:val="1"/>
      <w:numFmt w:val="bullet"/>
      <w:lvlText w:val=""/>
      <w:lvlJc w:val="left"/>
      <w:pPr>
        <w:ind w:left="720" w:hanging="360"/>
      </w:pPr>
      <w:rPr>
        <w:rFonts w:ascii="Symbol" w:hAnsi="Symbol" w:hint="default"/>
        <w:color w:val="6FAD45" w:themeColor="accent1"/>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81E19D4"/>
    <w:multiLevelType w:val="hybridMultilevel"/>
    <w:tmpl w:val="6284D692"/>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84034DB"/>
    <w:multiLevelType w:val="hybridMultilevel"/>
    <w:tmpl w:val="4BAECECA"/>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0B29C7C4"/>
    <w:multiLevelType w:val="hybridMultilevel"/>
    <w:tmpl w:val="FFFFFFFF"/>
    <w:lvl w:ilvl="0" w:tplc="EAA438D2">
      <w:start w:val="1"/>
      <w:numFmt w:val="bullet"/>
      <w:lvlText w:val=""/>
      <w:lvlJc w:val="left"/>
      <w:pPr>
        <w:ind w:left="720" w:hanging="360"/>
      </w:pPr>
      <w:rPr>
        <w:rFonts w:ascii="Symbol" w:hAnsi="Symbol" w:hint="default"/>
      </w:rPr>
    </w:lvl>
    <w:lvl w:ilvl="1" w:tplc="4E661F1C">
      <w:start w:val="1"/>
      <w:numFmt w:val="bullet"/>
      <w:lvlText w:val="o"/>
      <w:lvlJc w:val="left"/>
      <w:pPr>
        <w:ind w:left="1440" w:hanging="360"/>
      </w:pPr>
      <w:rPr>
        <w:rFonts w:ascii="Courier New" w:hAnsi="Courier New" w:hint="default"/>
      </w:rPr>
    </w:lvl>
    <w:lvl w:ilvl="2" w:tplc="CDD2829A">
      <w:start w:val="1"/>
      <w:numFmt w:val="bullet"/>
      <w:lvlText w:val=""/>
      <w:lvlJc w:val="left"/>
      <w:pPr>
        <w:ind w:left="2160" w:hanging="360"/>
      </w:pPr>
      <w:rPr>
        <w:rFonts w:ascii="Wingdings" w:hAnsi="Wingdings" w:hint="default"/>
      </w:rPr>
    </w:lvl>
    <w:lvl w:ilvl="3" w:tplc="CDAA8F62">
      <w:start w:val="1"/>
      <w:numFmt w:val="bullet"/>
      <w:lvlText w:val=""/>
      <w:lvlJc w:val="left"/>
      <w:pPr>
        <w:ind w:left="2880" w:hanging="360"/>
      </w:pPr>
      <w:rPr>
        <w:rFonts w:ascii="Symbol" w:hAnsi="Symbol" w:hint="default"/>
      </w:rPr>
    </w:lvl>
    <w:lvl w:ilvl="4" w:tplc="1272E508">
      <w:start w:val="1"/>
      <w:numFmt w:val="bullet"/>
      <w:lvlText w:val="o"/>
      <w:lvlJc w:val="left"/>
      <w:pPr>
        <w:ind w:left="3600" w:hanging="360"/>
      </w:pPr>
      <w:rPr>
        <w:rFonts w:ascii="Courier New" w:hAnsi="Courier New" w:hint="default"/>
      </w:rPr>
    </w:lvl>
    <w:lvl w:ilvl="5" w:tplc="1B12F1C4">
      <w:start w:val="1"/>
      <w:numFmt w:val="bullet"/>
      <w:lvlText w:val=""/>
      <w:lvlJc w:val="left"/>
      <w:pPr>
        <w:ind w:left="4320" w:hanging="360"/>
      </w:pPr>
      <w:rPr>
        <w:rFonts w:ascii="Wingdings" w:hAnsi="Wingdings" w:hint="default"/>
      </w:rPr>
    </w:lvl>
    <w:lvl w:ilvl="6" w:tplc="B1360D40">
      <w:start w:val="1"/>
      <w:numFmt w:val="bullet"/>
      <w:lvlText w:val=""/>
      <w:lvlJc w:val="left"/>
      <w:pPr>
        <w:ind w:left="5040" w:hanging="360"/>
      </w:pPr>
      <w:rPr>
        <w:rFonts w:ascii="Symbol" w:hAnsi="Symbol" w:hint="default"/>
      </w:rPr>
    </w:lvl>
    <w:lvl w:ilvl="7" w:tplc="99F6FB58">
      <w:start w:val="1"/>
      <w:numFmt w:val="bullet"/>
      <w:lvlText w:val="o"/>
      <w:lvlJc w:val="left"/>
      <w:pPr>
        <w:ind w:left="5760" w:hanging="360"/>
      </w:pPr>
      <w:rPr>
        <w:rFonts w:ascii="Courier New" w:hAnsi="Courier New" w:hint="default"/>
      </w:rPr>
    </w:lvl>
    <w:lvl w:ilvl="8" w:tplc="EB64E2F2">
      <w:start w:val="1"/>
      <w:numFmt w:val="bullet"/>
      <w:lvlText w:val=""/>
      <w:lvlJc w:val="left"/>
      <w:pPr>
        <w:ind w:left="6480" w:hanging="360"/>
      </w:pPr>
      <w:rPr>
        <w:rFonts w:ascii="Wingdings" w:hAnsi="Wingdings" w:hint="default"/>
      </w:rPr>
    </w:lvl>
  </w:abstractNum>
  <w:abstractNum w:abstractNumId="19" w15:restartNumberingAfterBreak="0">
    <w:nsid w:val="0BF4544D"/>
    <w:multiLevelType w:val="hybridMultilevel"/>
    <w:tmpl w:val="72ACC464"/>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0F2E092E"/>
    <w:multiLevelType w:val="hybridMultilevel"/>
    <w:tmpl w:val="4858E76C"/>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059581E"/>
    <w:multiLevelType w:val="hybridMultilevel"/>
    <w:tmpl w:val="F51006E4"/>
    <w:lvl w:ilvl="0" w:tplc="C842408A">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1141188B"/>
    <w:multiLevelType w:val="hybridMultilevel"/>
    <w:tmpl w:val="7248AA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22844D6"/>
    <w:multiLevelType w:val="hybridMultilevel"/>
    <w:tmpl w:val="654C8882"/>
    <w:lvl w:ilvl="0" w:tplc="C842408A">
      <w:start w:val="1"/>
      <w:numFmt w:val="bullet"/>
      <w:lvlText w:val="-"/>
      <w:lvlJc w:val="left"/>
      <w:pPr>
        <w:ind w:left="720" w:hanging="360"/>
      </w:pPr>
      <w:rPr>
        <w:rFonts w:ascii="Aptos" w:hAnsi="Apto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4" w15:restartNumberingAfterBreak="0">
    <w:nsid w:val="12B26741"/>
    <w:multiLevelType w:val="hybridMultilevel"/>
    <w:tmpl w:val="C612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6076C9"/>
    <w:multiLevelType w:val="hybridMultilevel"/>
    <w:tmpl w:val="660C5EE6"/>
    <w:lvl w:ilvl="0" w:tplc="0E6A35E8">
      <w:start w:val="1"/>
      <w:numFmt w:val="decimal"/>
      <w:pStyle w:val="NumberedList"/>
      <w:lvlText w:val="%1."/>
      <w:lvlJc w:val="left"/>
      <w:pPr>
        <w:ind w:left="720" w:hanging="360"/>
      </w:pPr>
      <w:rPr>
        <w:rFonts w:ascii="Lato Black" w:hAnsi="Lato Black" w:hint="default"/>
        <w:b w:val="0"/>
        <w:i w:val="0"/>
        <w:color w:val="6FAD45"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382034E"/>
    <w:multiLevelType w:val="hybridMultilevel"/>
    <w:tmpl w:val="E2F44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49F5310"/>
    <w:multiLevelType w:val="hybridMultilevel"/>
    <w:tmpl w:val="FFFFFFFF"/>
    <w:lvl w:ilvl="0" w:tplc="6DAE3C9C">
      <w:start w:val="1"/>
      <w:numFmt w:val="bullet"/>
      <w:lvlText w:val=""/>
      <w:lvlJc w:val="left"/>
      <w:pPr>
        <w:ind w:left="720" w:hanging="360"/>
      </w:pPr>
      <w:rPr>
        <w:rFonts w:ascii="Symbol" w:hAnsi="Symbol" w:hint="default"/>
      </w:rPr>
    </w:lvl>
    <w:lvl w:ilvl="1" w:tplc="BC5ED51E">
      <w:start w:val="1"/>
      <w:numFmt w:val="bullet"/>
      <w:lvlText w:val="o"/>
      <w:lvlJc w:val="left"/>
      <w:pPr>
        <w:ind w:left="1440" w:hanging="360"/>
      </w:pPr>
      <w:rPr>
        <w:rFonts w:ascii="Courier New" w:hAnsi="Courier New" w:hint="default"/>
      </w:rPr>
    </w:lvl>
    <w:lvl w:ilvl="2" w:tplc="81BA3C50">
      <w:start w:val="1"/>
      <w:numFmt w:val="bullet"/>
      <w:lvlText w:val=""/>
      <w:lvlJc w:val="left"/>
      <w:pPr>
        <w:ind w:left="2160" w:hanging="360"/>
      </w:pPr>
      <w:rPr>
        <w:rFonts w:ascii="Wingdings" w:hAnsi="Wingdings" w:hint="default"/>
      </w:rPr>
    </w:lvl>
    <w:lvl w:ilvl="3" w:tplc="3EFA6846">
      <w:start w:val="1"/>
      <w:numFmt w:val="bullet"/>
      <w:lvlText w:val=""/>
      <w:lvlJc w:val="left"/>
      <w:pPr>
        <w:ind w:left="2880" w:hanging="360"/>
      </w:pPr>
      <w:rPr>
        <w:rFonts w:ascii="Symbol" w:hAnsi="Symbol" w:hint="default"/>
      </w:rPr>
    </w:lvl>
    <w:lvl w:ilvl="4" w:tplc="BD584D3C">
      <w:start w:val="1"/>
      <w:numFmt w:val="bullet"/>
      <w:lvlText w:val="o"/>
      <w:lvlJc w:val="left"/>
      <w:pPr>
        <w:ind w:left="3600" w:hanging="360"/>
      </w:pPr>
      <w:rPr>
        <w:rFonts w:ascii="Courier New" w:hAnsi="Courier New" w:hint="default"/>
      </w:rPr>
    </w:lvl>
    <w:lvl w:ilvl="5" w:tplc="5776D900">
      <w:start w:val="1"/>
      <w:numFmt w:val="bullet"/>
      <w:lvlText w:val=""/>
      <w:lvlJc w:val="left"/>
      <w:pPr>
        <w:ind w:left="4320" w:hanging="360"/>
      </w:pPr>
      <w:rPr>
        <w:rFonts w:ascii="Wingdings" w:hAnsi="Wingdings" w:hint="default"/>
      </w:rPr>
    </w:lvl>
    <w:lvl w:ilvl="6" w:tplc="6BF4F1CC">
      <w:start w:val="1"/>
      <w:numFmt w:val="bullet"/>
      <w:lvlText w:val=""/>
      <w:lvlJc w:val="left"/>
      <w:pPr>
        <w:ind w:left="5040" w:hanging="360"/>
      </w:pPr>
      <w:rPr>
        <w:rFonts w:ascii="Symbol" w:hAnsi="Symbol" w:hint="default"/>
      </w:rPr>
    </w:lvl>
    <w:lvl w:ilvl="7" w:tplc="BDD0665C">
      <w:start w:val="1"/>
      <w:numFmt w:val="bullet"/>
      <w:lvlText w:val="o"/>
      <w:lvlJc w:val="left"/>
      <w:pPr>
        <w:ind w:left="5760" w:hanging="360"/>
      </w:pPr>
      <w:rPr>
        <w:rFonts w:ascii="Courier New" w:hAnsi="Courier New" w:hint="default"/>
      </w:rPr>
    </w:lvl>
    <w:lvl w:ilvl="8" w:tplc="731EE14A">
      <w:start w:val="1"/>
      <w:numFmt w:val="bullet"/>
      <w:lvlText w:val=""/>
      <w:lvlJc w:val="left"/>
      <w:pPr>
        <w:ind w:left="6480" w:hanging="360"/>
      </w:pPr>
      <w:rPr>
        <w:rFonts w:ascii="Wingdings" w:hAnsi="Wingdings" w:hint="default"/>
      </w:rPr>
    </w:lvl>
  </w:abstractNum>
  <w:abstractNum w:abstractNumId="28" w15:restartNumberingAfterBreak="0">
    <w:nsid w:val="14C69213"/>
    <w:multiLevelType w:val="hybridMultilevel"/>
    <w:tmpl w:val="28B4FC06"/>
    <w:lvl w:ilvl="0" w:tplc="29E23D98">
      <w:start w:val="1"/>
      <w:numFmt w:val="bullet"/>
      <w:lvlText w:val=""/>
      <w:lvlJc w:val="left"/>
      <w:pPr>
        <w:ind w:left="720" w:hanging="360"/>
      </w:pPr>
      <w:rPr>
        <w:rFonts w:ascii="Symbol" w:hAnsi="Symbol" w:hint="default"/>
      </w:rPr>
    </w:lvl>
    <w:lvl w:ilvl="1" w:tplc="3C7017AE">
      <w:start w:val="1"/>
      <w:numFmt w:val="bullet"/>
      <w:lvlText w:val="o"/>
      <w:lvlJc w:val="left"/>
      <w:pPr>
        <w:ind w:left="1440" w:hanging="360"/>
      </w:pPr>
      <w:rPr>
        <w:rFonts w:ascii="Courier New" w:hAnsi="Courier New" w:hint="default"/>
      </w:rPr>
    </w:lvl>
    <w:lvl w:ilvl="2" w:tplc="C802A2CC">
      <w:start w:val="1"/>
      <w:numFmt w:val="bullet"/>
      <w:lvlText w:val=""/>
      <w:lvlJc w:val="left"/>
      <w:pPr>
        <w:ind w:left="2160" w:hanging="360"/>
      </w:pPr>
      <w:rPr>
        <w:rFonts w:ascii="Wingdings" w:hAnsi="Wingdings" w:hint="default"/>
      </w:rPr>
    </w:lvl>
    <w:lvl w:ilvl="3" w:tplc="12B62896">
      <w:start w:val="1"/>
      <w:numFmt w:val="bullet"/>
      <w:lvlText w:val=""/>
      <w:lvlJc w:val="left"/>
      <w:pPr>
        <w:ind w:left="2880" w:hanging="360"/>
      </w:pPr>
      <w:rPr>
        <w:rFonts w:ascii="Symbol" w:hAnsi="Symbol" w:hint="default"/>
      </w:rPr>
    </w:lvl>
    <w:lvl w:ilvl="4" w:tplc="7C44BAB0">
      <w:start w:val="1"/>
      <w:numFmt w:val="bullet"/>
      <w:lvlText w:val="o"/>
      <w:lvlJc w:val="left"/>
      <w:pPr>
        <w:ind w:left="3600" w:hanging="360"/>
      </w:pPr>
      <w:rPr>
        <w:rFonts w:ascii="Courier New" w:hAnsi="Courier New" w:hint="default"/>
      </w:rPr>
    </w:lvl>
    <w:lvl w:ilvl="5" w:tplc="9EE42B24">
      <w:start w:val="1"/>
      <w:numFmt w:val="bullet"/>
      <w:lvlText w:val=""/>
      <w:lvlJc w:val="left"/>
      <w:pPr>
        <w:ind w:left="4320" w:hanging="360"/>
      </w:pPr>
      <w:rPr>
        <w:rFonts w:ascii="Wingdings" w:hAnsi="Wingdings" w:hint="default"/>
      </w:rPr>
    </w:lvl>
    <w:lvl w:ilvl="6" w:tplc="6D54BB8E">
      <w:start w:val="1"/>
      <w:numFmt w:val="bullet"/>
      <w:lvlText w:val=""/>
      <w:lvlJc w:val="left"/>
      <w:pPr>
        <w:ind w:left="5040" w:hanging="360"/>
      </w:pPr>
      <w:rPr>
        <w:rFonts w:ascii="Symbol" w:hAnsi="Symbol" w:hint="default"/>
      </w:rPr>
    </w:lvl>
    <w:lvl w:ilvl="7" w:tplc="C9C2B2E4">
      <w:start w:val="1"/>
      <w:numFmt w:val="bullet"/>
      <w:lvlText w:val="o"/>
      <w:lvlJc w:val="left"/>
      <w:pPr>
        <w:ind w:left="5760" w:hanging="360"/>
      </w:pPr>
      <w:rPr>
        <w:rFonts w:ascii="Courier New" w:hAnsi="Courier New" w:hint="default"/>
      </w:rPr>
    </w:lvl>
    <w:lvl w:ilvl="8" w:tplc="52028AB4">
      <w:start w:val="1"/>
      <w:numFmt w:val="bullet"/>
      <w:lvlText w:val=""/>
      <w:lvlJc w:val="left"/>
      <w:pPr>
        <w:ind w:left="6480" w:hanging="360"/>
      </w:pPr>
      <w:rPr>
        <w:rFonts w:ascii="Wingdings" w:hAnsi="Wingdings" w:hint="default"/>
      </w:rPr>
    </w:lvl>
  </w:abstractNum>
  <w:abstractNum w:abstractNumId="29" w15:restartNumberingAfterBreak="0">
    <w:nsid w:val="1530046F"/>
    <w:multiLevelType w:val="hybridMultilevel"/>
    <w:tmpl w:val="8CB218BC"/>
    <w:lvl w:ilvl="0" w:tplc="34DEBB36">
      <w:start w:val="1"/>
      <w:numFmt w:val="bullet"/>
      <w:lvlText w:val=""/>
      <w:lvlJc w:val="left"/>
      <w:pPr>
        <w:ind w:left="1440" w:hanging="360"/>
      </w:pPr>
      <w:rPr>
        <w:rFonts w:ascii="Symbol" w:hAnsi="Symbol"/>
      </w:rPr>
    </w:lvl>
    <w:lvl w:ilvl="1" w:tplc="9B848C66">
      <w:start w:val="1"/>
      <w:numFmt w:val="bullet"/>
      <w:lvlText w:val=""/>
      <w:lvlJc w:val="left"/>
      <w:pPr>
        <w:ind w:left="1440" w:hanging="360"/>
      </w:pPr>
      <w:rPr>
        <w:rFonts w:ascii="Symbol" w:hAnsi="Symbol"/>
      </w:rPr>
    </w:lvl>
    <w:lvl w:ilvl="2" w:tplc="AE70B102">
      <w:start w:val="1"/>
      <w:numFmt w:val="bullet"/>
      <w:lvlText w:val=""/>
      <w:lvlJc w:val="left"/>
      <w:pPr>
        <w:ind w:left="1440" w:hanging="360"/>
      </w:pPr>
      <w:rPr>
        <w:rFonts w:ascii="Symbol" w:hAnsi="Symbol"/>
      </w:rPr>
    </w:lvl>
    <w:lvl w:ilvl="3" w:tplc="494C4946">
      <w:start w:val="1"/>
      <w:numFmt w:val="bullet"/>
      <w:lvlText w:val=""/>
      <w:lvlJc w:val="left"/>
      <w:pPr>
        <w:ind w:left="1440" w:hanging="360"/>
      </w:pPr>
      <w:rPr>
        <w:rFonts w:ascii="Symbol" w:hAnsi="Symbol"/>
      </w:rPr>
    </w:lvl>
    <w:lvl w:ilvl="4" w:tplc="5F48E492">
      <w:start w:val="1"/>
      <w:numFmt w:val="bullet"/>
      <w:lvlText w:val=""/>
      <w:lvlJc w:val="left"/>
      <w:pPr>
        <w:ind w:left="1440" w:hanging="360"/>
      </w:pPr>
      <w:rPr>
        <w:rFonts w:ascii="Symbol" w:hAnsi="Symbol"/>
      </w:rPr>
    </w:lvl>
    <w:lvl w:ilvl="5" w:tplc="79FAE71C">
      <w:start w:val="1"/>
      <w:numFmt w:val="bullet"/>
      <w:lvlText w:val=""/>
      <w:lvlJc w:val="left"/>
      <w:pPr>
        <w:ind w:left="1440" w:hanging="360"/>
      </w:pPr>
      <w:rPr>
        <w:rFonts w:ascii="Symbol" w:hAnsi="Symbol"/>
      </w:rPr>
    </w:lvl>
    <w:lvl w:ilvl="6" w:tplc="DE18C752">
      <w:start w:val="1"/>
      <w:numFmt w:val="bullet"/>
      <w:lvlText w:val=""/>
      <w:lvlJc w:val="left"/>
      <w:pPr>
        <w:ind w:left="1440" w:hanging="360"/>
      </w:pPr>
      <w:rPr>
        <w:rFonts w:ascii="Symbol" w:hAnsi="Symbol"/>
      </w:rPr>
    </w:lvl>
    <w:lvl w:ilvl="7" w:tplc="24C86F48">
      <w:start w:val="1"/>
      <w:numFmt w:val="bullet"/>
      <w:lvlText w:val=""/>
      <w:lvlJc w:val="left"/>
      <w:pPr>
        <w:ind w:left="1440" w:hanging="360"/>
      </w:pPr>
      <w:rPr>
        <w:rFonts w:ascii="Symbol" w:hAnsi="Symbol"/>
      </w:rPr>
    </w:lvl>
    <w:lvl w:ilvl="8" w:tplc="B7AE39CC">
      <w:start w:val="1"/>
      <w:numFmt w:val="bullet"/>
      <w:lvlText w:val=""/>
      <w:lvlJc w:val="left"/>
      <w:pPr>
        <w:ind w:left="1440" w:hanging="360"/>
      </w:pPr>
      <w:rPr>
        <w:rFonts w:ascii="Symbol" w:hAnsi="Symbol"/>
      </w:rPr>
    </w:lvl>
  </w:abstractNum>
  <w:abstractNum w:abstractNumId="30" w15:restartNumberingAfterBreak="0">
    <w:nsid w:val="15BC0DB4"/>
    <w:multiLevelType w:val="hybridMultilevel"/>
    <w:tmpl w:val="339AE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68B0934"/>
    <w:multiLevelType w:val="hybridMultilevel"/>
    <w:tmpl w:val="2BD626C0"/>
    <w:lvl w:ilvl="0" w:tplc="FFFFFFFF">
      <w:start w:val="1"/>
      <w:numFmt w:val="bullet"/>
      <w:lvlText w:val=""/>
      <w:lvlJc w:val="left"/>
      <w:pPr>
        <w:ind w:left="720" w:hanging="360"/>
      </w:pPr>
      <w:rPr>
        <w:rFonts w:ascii="Symbol" w:hAnsi="Symbol" w:hint="default"/>
        <w:color w:val="6FAD45" w:themeColor="accent1"/>
      </w:rPr>
    </w:lvl>
    <w:lvl w:ilvl="1" w:tplc="750CA704">
      <w:start w:val="1"/>
      <w:numFmt w:val="bullet"/>
      <w:lvlText w:val=""/>
      <w:lvlJc w:val="left"/>
      <w:pPr>
        <w:ind w:left="1440" w:hanging="360"/>
      </w:pPr>
      <w:rPr>
        <w:rFonts w:ascii="Symbol" w:hAnsi="Symbol" w:hint="default"/>
        <w:color w:val="6FAD45" w:themeColor="accent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18D71461"/>
    <w:multiLevelType w:val="hybridMultilevel"/>
    <w:tmpl w:val="FD88E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7044BA"/>
    <w:multiLevelType w:val="hybridMultilevel"/>
    <w:tmpl w:val="876E2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D8F380B"/>
    <w:multiLevelType w:val="hybridMultilevel"/>
    <w:tmpl w:val="998AE7E2"/>
    <w:lvl w:ilvl="0" w:tplc="C842408A">
      <w:start w:val="1"/>
      <w:numFmt w:val="bullet"/>
      <w:lvlText w:val="-"/>
      <w:lvlJc w:val="left"/>
      <w:pPr>
        <w:ind w:left="720" w:hanging="360"/>
      </w:pPr>
      <w:rPr>
        <w:rFonts w:ascii="Aptos" w:hAnsi="Apto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1DC351B"/>
    <w:multiLevelType w:val="hybridMultilevel"/>
    <w:tmpl w:val="70A87E1A"/>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22072CB2"/>
    <w:multiLevelType w:val="hybridMultilevel"/>
    <w:tmpl w:val="C3AC3CF8"/>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20904C0"/>
    <w:multiLevelType w:val="hybridMultilevel"/>
    <w:tmpl w:val="FFFFFFFF"/>
    <w:lvl w:ilvl="0" w:tplc="7A6AB9A2">
      <w:start w:val="1"/>
      <w:numFmt w:val="bullet"/>
      <w:lvlText w:val=""/>
      <w:lvlJc w:val="left"/>
      <w:pPr>
        <w:ind w:left="720" w:hanging="360"/>
      </w:pPr>
      <w:rPr>
        <w:rFonts w:ascii="Symbol" w:hAnsi="Symbol" w:hint="default"/>
      </w:rPr>
    </w:lvl>
    <w:lvl w:ilvl="1" w:tplc="1EEA5118">
      <w:start w:val="1"/>
      <w:numFmt w:val="bullet"/>
      <w:lvlText w:val="o"/>
      <w:lvlJc w:val="left"/>
      <w:pPr>
        <w:ind w:left="1440" w:hanging="360"/>
      </w:pPr>
      <w:rPr>
        <w:rFonts w:ascii="Courier New" w:hAnsi="Courier New" w:hint="default"/>
      </w:rPr>
    </w:lvl>
    <w:lvl w:ilvl="2" w:tplc="732E2964">
      <w:start w:val="1"/>
      <w:numFmt w:val="bullet"/>
      <w:lvlText w:val=""/>
      <w:lvlJc w:val="left"/>
      <w:pPr>
        <w:ind w:left="2160" w:hanging="360"/>
      </w:pPr>
      <w:rPr>
        <w:rFonts w:ascii="Wingdings" w:hAnsi="Wingdings" w:hint="default"/>
      </w:rPr>
    </w:lvl>
    <w:lvl w:ilvl="3" w:tplc="4F086C04">
      <w:start w:val="1"/>
      <w:numFmt w:val="bullet"/>
      <w:lvlText w:val=""/>
      <w:lvlJc w:val="left"/>
      <w:pPr>
        <w:ind w:left="2880" w:hanging="360"/>
      </w:pPr>
      <w:rPr>
        <w:rFonts w:ascii="Symbol" w:hAnsi="Symbol" w:hint="default"/>
      </w:rPr>
    </w:lvl>
    <w:lvl w:ilvl="4" w:tplc="47584BE8">
      <w:start w:val="1"/>
      <w:numFmt w:val="bullet"/>
      <w:lvlText w:val="o"/>
      <w:lvlJc w:val="left"/>
      <w:pPr>
        <w:ind w:left="3600" w:hanging="360"/>
      </w:pPr>
      <w:rPr>
        <w:rFonts w:ascii="Courier New" w:hAnsi="Courier New" w:hint="default"/>
      </w:rPr>
    </w:lvl>
    <w:lvl w:ilvl="5" w:tplc="66CC0032">
      <w:start w:val="1"/>
      <w:numFmt w:val="bullet"/>
      <w:lvlText w:val=""/>
      <w:lvlJc w:val="left"/>
      <w:pPr>
        <w:ind w:left="4320" w:hanging="360"/>
      </w:pPr>
      <w:rPr>
        <w:rFonts w:ascii="Wingdings" w:hAnsi="Wingdings" w:hint="default"/>
      </w:rPr>
    </w:lvl>
    <w:lvl w:ilvl="6" w:tplc="F4224CC4">
      <w:start w:val="1"/>
      <w:numFmt w:val="bullet"/>
      <w:lvlText w:val=""/>
      <w:lvlJc w:val="left"/>
      <w:pPr>
        <w:ind w:left="5040" w:hanging="360"/>
      </w:pPr>
      <w:rPr>
        <w:rFonts w:ascii="Symbol" w:hAnsi="Symbol" w:hint="default"/>
      </w:rPr>
    </w:lvl>
    <w:lvl w:ilvl="7" w:tplc="6694CEDA">
      <w:start w:val="1"/>
      <w:numFmt w:val="bullet"/>
      <w:lvlText w:val="o"/>
      <w:lvlJc w:val="left"/>
      <w:pPr>
        <w:ind w:left="5760" w:hanging="360"/>
      </w:pPr>
      <w:rPr>
        <w:rFonts w:ascii="Courier New" w:hAnsi="Courier New" w:hint="default"/>
      </w:rPr>
    </w:lvl>
    <w:lvl w:ilvl="8" w:tplc="00DEB716">
      <w:start w:val="1"/>
      <w:numFmt w:val="bullet"/>
      <w:lvlText w:val=""/>
      <w:lvlJc w:val="left"/>
      <w:pPr>
        <w:ind w:left="6480" w:hanging="360"/>
      </w:pPr>
      <w:rPr>
        <w:rFonts w:ascii="Wingdings" w:hAnsi="Wingdings" w:hint="default"/>
      </w:rPr>
    </w:lvl>
  </w:abstractNum>
  <w:abstractNum w:abstractNumId="38" w15:restartNumberingAfterBreak="0">
    <w:nsid w:val="230A6BA2"/>
    <w:multiLevelType w:val="hybridMultilevel"/>
    <w:tmpl w:val="32903268"/>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356F964"/>
    <w:multiLevelType w:val="hybridMultilevel"/>
    <w:tmpl w:val="FFFFFFFF"/>
    <w:lvl w:ilvl="0" w:tplc="C842408A">
      <w:start w:val="1"/>
      <w:numFmt w:val="bullet"/>
      <w:lvlText w:val="-"/>
      <w:lvlJc w:val="left"/>
      <w:pPr>
        <w:ind w:left="720" w:hanging="360"/>
      </w:pPr>
      <w:rPr>
        <w:rFonts w:ascii="Aptos" w:hAnsi="Aptos" w:hint="default"/>
      </w:rPr>
    </w:lvl>
    <w:lvl w:ilvl="1" w:tplc="827AF64C">
      <w:start w:val="1"/>
      <w:numFmt w:val="bullet"/>
      <w:lvlText w:val="o"/>
      <w:lvlJc w:val="left"/>
      <w:pPr>
        <w:ind w:left="1440" w:hanging="360"/>
      </w:pPr>
      <w:rPr>
        <w:rFonts w:ascii="Courier New" w:hAnsi="Courier New" w:hint="default"/>
      </w:rPr>
    </w:lvl>
    <w:lvl w:ilvl="2" w:tplc="510A46D2">
      <w:start w:val="1"/>
      <w:numFmt w:val="bullet"/>
      <w:lvlText w:val=""/>
      <w:lvlJc w:val="left"/>
      <w:pPr>
        <w:ind w:left="2160" w:hanging="360"/>
      </w:pPr>
      <w:rPr>
        <w:rFonts w:ascii="Wingdings" w:hAnsi="Wingdings" w:hint="default"/>
      </w:rPr>
    </w:lvl>
    <w:lvl w:ilvl="3" w:tplc="7446121A">
      <w:start w:val="1"/>
      <w:numFmt w:val="bullet"/>
      <w:lvlText w:val=""/>
      <w:lvlJc w:val="left"/>
      <w:pPr>
        <w:ind w:left="2880" w:hanging="360"/>
      </w:pPr>
      <w:rPr>
        <w:rFonts w:ascii="Symbol" w:hAnsi="Symbol" w:hint="default"/>
      </w:rPr>
    </w:lvl>
    <w:lvl w:ilvl="4" w:tplc="DB2A5316">
      <w:start w:val="1"/>
      <w:numFmt w:val="bullet"/>
      <w:lvlText w:val="o"/>
      <w:lvlJc w:val="left"/>
      <w:pPr>
        <w:ind w:left="3600" w:hanging="360"/>
      </w:pPr>
      <w:rPr>
        <w:rFonts w:ascii="Courier New" w:hAnsi="Courier New" w:hint="default"/>
      </w:rPr>
    </w:lvl>
    <w:lvl w:ilvl="5" w:tplc="CDFCC3C0">
      <w:start w:val="1"/>
      <w:numFmt w:val="bullet"/>
      <w:lvlText w:val=""/>
      <w:lvlJc w:val="left"/>
      <w:pPr>
        <w:ind w:left="4320" w:hanging="360"/>
      </w:pPr>
      <w:rPr>
        <w:rFonts w:ascii="Wingdings" w:hAnsi="Wingdings" w:hint="default"/>
      </w:rPr>
    </w:lvl>
    <w:lvl w:ilvl="6" w:tplc="2A3206CE">
      <w:start w:val="1"/>
      <w:numFmt w:val="bullet"/>
      <w:lvlText w:val=""/>
      <w:lvlJc w:val="left"/>
      <w:pPr>
        <w:ind w:left="5040" w:hanging="360"/>
      </w:pPr>
      <w:rPr>
        <w:rFonts w:ascii="Symbol" w:hAnsi="Symbol" w:hint="default"/>
      </w:rPr>
    </w:lvl>
    <w:lvl w:ilvl="7" w:tplc="85268AB4">
      <w:start w:val="1"/>
      <w:numFmt w:val="bullet"/>
      <w:lvlText w:val="o"/>
      <w:lvlJc w:val="left"/>
      <w:pPr>
        <w:ind w:left="5760" w:hanging="360"/>
      </w:pPr>
      <w:rPr>
        <w:rFonts w:ascii="Courier New" w:hAnsi="Courier New" w:hint="default"/>
      </w:rPr>
    </w:lvl>
    <w:lvl w:ilvl="8" w:tplc="9B523AC2">
      <w:start w:val="1"/>
      <w:numFmt w:val="bullet"/>
      <w:lvlText w:val=""/>
      <w:lvlJc w:val="left"/>
      <w:pPr>
        <w:ind w:left="6480" w:hanging="360"/>
      </w:pPr>
      <w:rPr>
        <w:rFonts w:ascii="Wingdings" w:hAnsi="Wingdings" w:hint="default"/>
      </w:rPr>
    </w:lvl>
  </w:abstractNum>
  <w:abstractNum w:abstractNumId="40" w15:restartNumberingAfterBreak="0">
    <w:nsid w:val="23F109CB"/>
    <w:multiLevelType w:val="hybridMultilevel"/>
    <w:tmpl w:val="8C3077FE"/>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253C31D3"/>
    <w:multiLevelType w:val="hybridMultilevel"/>
    <w:tmpl w:val="37B46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74605B8"/>
    <w:multiLevelType w:val="hybridMultilevel"/>
    <w:tmpl w:val="FFFFFFFF"/>
    <w:lvl w:ilvl="0" w:tplc="DD861D9A">
      <w:start w:val="1"/>
      <w:numFmt w:val="bullet"/>
      <w:lvlText w:val=""/>
      <w:lvlJc w:val="left"/>
      <w:pPr>
        <w:ind w:left="720" w:hanging="360"/>
      </w:pPr>
      <w:rPr>
        <w:rFonts w:ascii="Symbol" w:hAnsi="Symbol" w:hint="default"/>
      </w:rPr>
    </w:lvl>
    <w:lvl w:ilvl="1" w:tplc="E5740F7E">
      <w:start w:val="1"/>
      <w:numFmt w:val="bullet"/>
      <w:lvlText w:val="o"/>
      <w:lvlJc w:val="left"/>
      <w:pPr>
        <w:ind w:left="1440" w:hanging="360"/>
      </w:pPr>
      <w:rPr>
        <w:rFonts w:ascii="Courier New" w:hAnsi="Courier New" w:hint="default"/>
      </w:rPr>
    </w:lvl>
    <w:lvl w:ilvl="2" w:tplc="9196CBDE">
      <w:start w:val="1"/>
      <w:numFmt w:val="bullet"/>
      <w:lvlText w:val=""/>
      <w:lvlJc w:val="left"/>
      <w:pPr>
        <w:ind w:left="2160" w:hanging="360"/>
      </w:pPr>
      <w:rPr>
        <w:rFonts w:ascii="Wingdings" w:hAnsi="Wingdings" w:hint="default"/>
      </w:rPr>
    </w:lvl>
    <w:lvl w:ilvl="3" w:tplc="ACFCD35C">
      <w:start w:val="1"/>
      <w:numFmt w:val="bullet"/>
      <w:lvlText w:val=""/>
      <w:lvlJc w:val="left"/>
      <w:pPr>
        <w:ind w:left="2880" w:hanging="360"/>
      </w:pPr>
      <w:rPr>
        <w:rFonts w:ascii="Symbol" w:hAnsi="Symbol" w:hint="default"/>
      </w:rPr>
    </w:lvl>
    <w:lvl w:ilvl="4" w:tplc="32705130">
      <w:start w:val="1"/>
      <w:numFmt w:val="bullet"/>
      <w:lvlText w:val="o"/>
      <w:lvlJc w:val="left"/>
      <w:pPr>
        <w:ind w:left="3600" w:hanging="360"/>
      </w:pPr>
      <w:rPr>
        <w:rFonts w:ascii="Courier New" w:hAnsi="Courier New" w:hint="default"/>
      </w:rPr>
    </w:lvl>
    <w:lvl w:ilvl="5" w:tplc="EFB0B628">
      <w:start w:val="1"/>
      <w:numFmt w:val="bullet"/>
      <w:lvlText w:val=""/>
      <w:lvlJc w:val="left"/>
      <w:pPr>
        <w:ind w:left="4320" w:hanging="360"/>
      </w:pPr>
      <w:rPr>
        <w:rFonts w:ascii="Wingdings" w:hAnsi="Wingdings" w:hint="default"/>
      </w:rPr>
    </w:lvl>
    <w:lvl w:ilvl="6" w:tplc="B5EC9E0E">
      <w:start w:val="1"/>
      <w:numFmt w:val="bullet"/>
      <w:lvlText w:val=""/>
      <w:lvlJc w:val="left"/>
      <w:pPr>
        <w:ind w:left="5040" w:hanging="360"/>
      </w:pPr>
      <w:rPr>
        <w:rFonts w:ascii="Symbol" w:hAnsi="Symbol" w:hint="default"/>
      </w:rPr>
    </w:lvl>
    <w:lvl w:ilvl="7" w:tplc="183E83EA">
      <w:start w:val="1"/>
      <w:numFmt w:val="bullet"/>
      <w:lvlText w:val="o"/>
      <w:lvlJc w:val="left"/>
      <w:pPr>
        <w:ind w:left="5760" w:hanging="360"/>
      </w:pPr>
      <w:rPr>
        <w:rFonts w:ascii="Courier New" w:hAnsi="Courier New" w:hint="default"/>
      </w:rPr>
    </w:lvl>
    <w:lvl w:ilvl="8" w:tplc="1988BE7A">
      <w:start w:val="1"/>
      <w:numFmt w:val="bullet"/>
      <w:lvlText w:val=""/>
      <w:lvlJc w:val="left"/>
      <w:pPr>
        <w:ind w:left="6480" w:hanging="360"/>
      </w:pPr>
      <w:rPr>
        <w:rFonts w:ascii="Wingdings" w:hAnsi="Wingdings" w:hint="default"/>
      </w:rPr>
    </w:lvl>
  </w:abstractNum>
  <w:abstractNum w:abstractNumId="43" w15:restartNumberingAfterBreak="0">
    <w:nsid w:val="27657D0A"/>
    <w:multiLevelType w:val="hybridMultilevel"/>
    <w:tmpl w:val="1CBC9B8C"/>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2841749F"/>
    <w:multiLevelType w:val="hybridMultilevel"/>
    <w:tmpl w:val="AF5AC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E9A0D2A"/>
    <w:multiLevelType w:val="hybridMultilevel"/>
    <w:tmpl w:val="0CE60E3C"/>
    <w:lvl w:ilvl="0" w:tplc="3C24B408">
      <w:start w:val="2"/>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07F27C3"/>
    <w:multiLevelType w:val="hybridMultilevel"/>
    <w:tmpl w:val="5FA474F2"/>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2D835F0"/>
    <w:multiLevelType w:val="hybridMultilevel"/>
    <w:tmpl w:val="DE1EAB06"/>
    <w:lvl w:ilvl="0" w:tplc="3C304EF8">
      <w:start w:val="1"/>
      <w:numFmt w:val="bullet"/>
      <w:pStyle w:val="SG-Table-BulletedText"/>
      <w:lvlText w:val=""/>
      <w:lvlJc w:val="left"/>
      <w:pPr>
        <w:ind w:left="720" w:hanging="360"/>
      </w:pPr>
      <w:rPr>
        <w:rFonts w:ascii="Symbol" w:hAnsi="Symbol" w:hint="default"/>
        <w:color w:val="FFFFFF" w:themeColor="background2"/>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259504"/>
    <w:multiLevelType w:val="hybridMultilevel"/>
    <w:tmpl w:val="FFFFFFFF"/>
    <w:lvl w:ilvl="0" w:tplc="D2D4D086">
      <w:start w:val="1"/>
      <w:numFmt w:val="bullet"/>
      <w:lvlText w:val=""/>
      <w:lvlJc w:val="left"/>
      <w:pPr>
        <w:ind w:left="720" w:hanging="360"/>
      </w:pPr>
      <w:rPr>
        <w:rFonts w:ascii="Symbol" w:hAnsi="Symbol" w:hint="default"/>
      </w:rPr>
    </w:lvl>
    <w:lvl w:ilvl="1" w:tplc="386CFE3A">
      <w:start w:val="1"/>
      <w:numFmt w:val="lowerLetter"/>
      <w:lvlText w:val="%2."/>
      <w:lvlJc w:val="left"/>
      <w:pPr>
        <w:ind w:left="1440" w:hanging="360"/>
      </w:pPr>
    </w:lvl>
    <w:lvl w:ilvl="2" w:tplc="FFFFFFFF">
      <w:start w:val="1"/>
      <w:numFmt w:val="bullet"/>
      <w:lvlText w:val=""/>
      <w:lvlJc w:val="left"/>
      <w:pPr>
        <w:ind w:left="2160" w:hanging="360"/>
      </w:pPr>
      <w:rPr>
        <w:rFonts w:ascii="Symbol" w:hAnsi="Symbol" w:hint="default"/>
      </w:rPr>
    </w:lvl>
    <w:lvl w:ilvl="3" w:tplc="A85C4B54">
      <w:start w:val="1"/>
      <w:numFmt w:val="decimal"/>
      <w:lvlText w:val="%4."/>
      <w:lvlJc w:val="left"/>
      <w:pPr>
        <w:ind w:left="2880" w:hanging="360"/>
      </w:pPr>
    </w:lvl>
    <w:lvl w:ilvl="4" w:tplc="2BEAF734">
      <w:start w:val="1"/>
      <w:numFmt w:val="lowerLetter"/>
      <w:lvlText w:val="%5."/>
      <w:lvlJc w:val="left"/>
      <w:pPr>
        <w:ind w:left="3600" w:hanging="360"/>
      </w:pPr>
    </w:lvl>
    <w:lvl w:ilvl="5" w:tplc="490A848A">
      <w:start w:val="1"/>
      <w:numFmt w:val="lowerRoman"/>
      <w:lvlText w:val="%6."/>
      <w:lvlJc w:val="right"/>
      <w:pPr>
        <w:ind w:left="4320" w:hanging="180"/>
      </w:pPr>
    </w:lvl>
    <w:lvl w:ilvl="6" w:tplc="4822CC34">
      <w:start w:val="1"/>
      <w:numFmt w:val="decimal"/>
      <w:lvlText w:val="%7."/>
      <w:lvlJc w:val="left"/>
      <w:pPr>
        <w:ind w:left="5040" w:hanging="360"/>
      </w:pPr>
    </w:lvl>
    <w:lvl w:ilvl="7" w:tplc="86B2DA70">
      <w:start w:val="1"/>
      <w:numFmt w:val="lowerLetter"/>
      <w:lvlText w:val="%8."/>
      <w:lvlJc w:val="left"/>
      <w:pPr>
        <w:ind w:left="5760" w:hanging="360"/>
      </w:pPr>
    </w:lvl>
    <w:lvl w:ilvl="8" w:tplc="863E592C">
      <w:start w:val="1"/>
      <w:numFmt w:val="lowerRoman"/>
      <w:lvlText w:val="%9."/>
      <w:lvlJc w:val="right"/>
      <w:pPr>
        <w:ind w:left="6480" w:hanging="180"/>
      </w:pPr>
    </w:lvl>
  </w:abstractNum>
  <w:abstractNum w:abstractNumId="49" w15:restartNumberingAfterBreak="0">
    <w:nsid w:val="3463724D"/>
    <w:multiLevelType w:val="hybridMultilevel"/>
    <w:tmpl w:val="51B4FDDC"/>
    <w:lvl w:ilvl="0" w:tplc="C842408A">
      <w:start w:val="1"/>
      <w:numFmt w:val="bullet"/>
      <w:lvlText w:val="-"/>
      <w:lvlJc w:val="left"/>
      <w:pPr>
        <w:ind w:left="720" w:hanging="360"/>
      </w:pPr>
      <w:rPr>
        <w:rFonts w:ascii="Aptos" w:hAnsi="Apto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54032D1"/>
    <w:multiLevelType w:val="hybridMultilevel"/>
    <w:tmpl w:val="FFFFFFFF"/>
    <w:lvl w:ilvl="0" w:tplc="FC0E6C6A">
      <w:start w:val="1"/>
      <w:numFmt w:val="bullet"/>
      <w:lvlText w:val=""/>
      <w:lvlJc w:val="left"/>
      <w:pPr>
        <w:ind w:left="720" w:hanging="360"/>
      </w:pPr>
      <w:rPr>
        <w:rFonts w:ascii="Symbol" w:hAnsi="Symbol" w:hint="default"/>
      </w:rPr>
    </w:lvl>
    <w:lvl w:ilvl="1" w:tplc="B34CFD3C">
      <w:start w:val="1"/>
      <w:numFmt w:val="bullet"/>
      <w:lvlText w:val="o"/>
      <w:lvlJc w:val="left"/>
      <w:pPr>
        <w:ind w:left="1440" w:hanging="360"/>
      </w:pPr>
      <w:rPr>
        <w:rFonts w:ascii="Courier New" w:hAnsi="Courier New" w:hint="default"/>
      </w:rPr>
    </w:lvl>
    <w:lvl w:ilvl="2" w:tplc="7A5A4B9A">
      <w:start w:val="1"/>
      <w:numFmt w:val="bullet"/>
      <w:lvlText w:val=""/>
      <w:lvlJc w:val="left"/>
      <w:pPr>
        <w:ind w:left="2160" w:hanging="360"/>
      </w:pPr>
      <w:rPr>
        <w:rFonts w:ascii="Wingdings" w:hAnsi="Wingdings" w:hint="default"/>
      </w:rPr>
    </w:lvl>
    <w:lvl w:ilvl="3" w:tplc="E25EABE6">
      <w:start w:val="1"/>
      <w:numFmt w:val="bullet"/>
      <w:lvlText w:val=""/>
      <w:lvlJc w:val="left"/>
      <w:pPr>
        <w:ind w:left="2880" w:hanging="360"/>
      </w:pPr>
      <w:rPr>
        <w:rFonts w:ascii="Symbol" w:hAnsi="Symbol" w:hint="default"/>
      </w:rPr>
    </w:lvl>
    <w:lvl w:ilvl="4" w:tplc="357E92E8">
      <w:start w:val="1"/>
      <w:numFmt w:val="bullet"/>
      <w:lvlText w:val="o"/>
      <w:lvlJc w:val="left"/>
      <w:pPr>
        <w:ind w:left="3600" w:hanging="360"/>
      </w:pPr>
      <w:rPr>
        <w:rFonts w:ascii="Courier New" w:hAnsi="Courier New" w:hint="default"/>
      </w:rPr>
    </w:lvl>
    <w:lvl w:ilvl="5" w:tplc="71CAEEC6">
      <w:start w:val="1"/>
      <w:numFmt w:val="bullet"/>
      <w:lvlText w:val=""/>
      <w:lvlJc w:val="left"/>
      <w:pPr>
        <w:ind w:left="4320" w:hanging="360"/>
      </w:pPr>
      <w:rPr>
        <w:rFonts w:ascii="Wingdings" w:hAnsi="Wingdings" w:hint="default"/>
      </w:rPr>
    </w:lvl>
    <w:lvl w:ilvl="6" w:tplc="C90EB334">
      <w:start w:val="1"/>
      <w:numFmt w:val="bullet"/>
      <w:lvlText w:val=""/>
      <w:lvlJc w:val="left"/>
      <w:pPr>
        <w:ind w:left="5040" w:hanging="360"/>
      </w:pPr>
      <w:rPr>
        <w:rFonts w:ascii="Symbol" w:hAnsi="Symbol" w:hint="default"/>
      </w:rPr>
    </w:lvl>
    <w:lvl w:ilvl="7" w:tplc="67FE0976">
      <w:start w:val="1"/>
      <w:numFmt w:val="bullet"/>
      <w:lvlText w:val="o"/>
      <w:lvlJc w:val="left"/>
      <w:pPr>
        <w:ind w:left="5760" w:hanging="360"/>
      </w:pPr>
      <w:rPr>
        <w:rFonts w:ascii="Courier New" w:hAnsi="Courier New" w:hint="default"/>
      </w:rPr>
    </w:lvl>
    <w:lvl w:ilvl="8" w:tplc="4E78E354">
      <w:start w:val="1"/>
      <w:numFmt w:val="bullet"/>
      <w:lvlText w:val=""/>
      <w:lvlJc w:val="left"/>
      <w:pPr>
        <w:ind w:left="6480" w:hanging="360"/>
      </w:pPr>
      <w:rPr>
        <w:rFonts w:ascii="Wingdings" w:hAnsi="Wingdings" w:hint="default"/>
      </w:rPr>
    </w:lvl>
  </w:abstractNum>
  <w:abstractNum w:abstractNumId="51" w15:restartNumberingAfterBreak="0">
    <w:nsid w:val="37347358"/>
    <w:multiLevelType w:val="hybridMultilevel"/>
    <w:tmpl w:val="18C81DF0"/>
    <w:lvl w:ilvl="0" w:tplc="750CA704">
      <w:start w:val="1"/>
      <w:numFmt w:val="bullet"/>
      <w:lvlText w:val=""/>
      <w:lvlJc w:val="left"/>
      <w:pPr>
        <w:ind w:left="720" w:hanging="360"/>
      </w:pPr>
      <w:rPr>
        <w:rFonts w:ascii="Symbol" w:hAnsi="Symbol" w:hint="default"/>
        <w:color w:val="6FAD45" w:themeColor="accent1"/>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37EE019B"/>
    <w:multiLevelType w:val="hybridMultilevel"/>
    <w:tmpl w:val="FFFFFFFF"/>
    <w:lvl w:ilvl="0" w:tplc="B94AE3A4">
      <w:start w:val="1"/>
      <w:numFmt w:val="bullet"/>
      <w:lvlText w:val=""/>
      <w:lvlJc w:val="left"/>
      <w:pPr>
        <w:ind w:left="720" w:hanging="360"/>
      </w:pPr>
      <w:rPr>
        <w:rFonts w:ascii="Symbol" w:hAnsi="Symbol" w:hint="default"/>
      </w:rPr>
    </w:lvl>
    <w:lvl w:ilvl="1" w:tplc="A93C114A">
      <w:start w:val="1"/>
      <w:numFmt w:val="bullet"/>
      <w:lvlText w:val="o"/>
      <w:lvlJc w:val="left"/>
      <w:pPr>
        <w:ind w:left="1440" w:hanging="360"/>
      </w:pPr>
      <w:rPr>
        <w:rFonts w:ascii="Courier New" w:hAnsi="Courier New" w:hint="default"/>
      </w:rPr>
    </w:lvl>
    <w:lvl w:ilvl="2" w:tplc="B624396C">
      <w:start w:val="1"/>
      <w:numFmt w:val="bullet"/>
      <w:lvlText w:val=""/>
      <w:lvlJc w:val="left"/>
      <w:pPr>
        <w:ind w:left="2160" w:hanging="360"/>
      </w:pPr>
      <w:rPr>
        <w:rFonts w:ascii="Wingdings" w:hAnsi="Wingdings" w:hint="default"/>
      </w:rPr>
    </w:lvl>
    <w:lvl w:ilvl="3" w:tplc="758C0630">
      <w:start w:val="1"/>
      <w:numFmt w:val="bullet"/>
      <w:lvlText w:val=""/>
      <w:lvlJc w:val="left"/>
      <w:pPr>
        <w:ind w:left="2880" w:hanging="360"/>
      </w:pPr>
      <w:rPr>
        <w:rFonts w:ascii="Symbol" w:hAnsi="Symbol" w:hint="default"/>
      </w:rPr>
    </w:lvl>
    <w:lvl w:ilvl="4" w:tplc="9D0A0A94">
      <w:start w:val="1"/>
      <w:numFmt w:val="bullet"/>
      <w:lvlText w:val="o"/>
      <w:lvlJc w:val="left"/>
      <w:pPr>
        <w:ind w:left="3600" w:hanging="360"/>
      </w:pPr>
      <w:rPr>
        <w:rFonts w:ascii="Courier New" w:hAnsi="Courier New" w:hint="default"/>
      </w:rPr>
    </w:lvl>
    <w:lvl w:ilvl="5" w:tplc="0BB6BD16">
      <w:start w:val="1"/>
      <w:numFmt w:val="bullet"/>
      <w:lvlText w:val=""/>
      <w:lvlJc w:val="left"/>
      <w:pPr>
        <w:ind w:left="4320" w:hanging="360"/>
      </w:pPr>
      <w:rPr>
        <w:rFonts w:ascii="Wingdings" w:hAnsi="Wingdings" w:hint="default"/>
      </w:rPr>
    </w:lvl>
    <w:lvl w:ilvl="6" w:tplc="A4CEFFE0">
      <w:start w:val="1"/>
      <w:numFmt w:val="bullet"/>
      <w:lvlText w:val=""/>
      <w:lvlJc w:val="left"/>
      <w:pPr>
        <w:ind w:left="5040" w:hanging="360"/>
      </w:pPr>
      <w:rPr>
        <w:rFonts w:ascii="Symbol" w:hAnsi="Symbol" w:hint="default"/>
      </w:rPr>
    </w:lvl>
    <w:lvl w:ilvl="7" w:tplc="E736C342">
      <w:start w:val="1"/>
      <w:numFmt w:val="bullet"/>
      <w:lvlText w:val="o"/>
      <w:lvlJc w:val="left"/>
      <w:pPr>
        <w:ind w:left="5760" w:hanging="360"/>
      </w:pPr>
      <w:rPr>
        <w:rFonts w:ascii="Courier New" w:hAnsi="Courier New" w:hint="default"/>
      </w:rPr>
    </w:lvl>
    <w:lvl w:ilvl="8" w:tplc="51629594">
      <w:start w:val="1"/>
      <w:numFmt w:val="bullet"/>
      <w:lvlText w:val=""/>
      <w:lvlJc w:val="left"/>
      <w:pPr>
        <w:ind w:left="6480" w:hanging="360"/>
      </w:pPr>
      <w:rPr>
        <w:rFonts w:ascii="Wingdings" w:hAnsi="Wingdings" w:hint="default"/>
      </w:rPr>
    </w:lvl>
  </w:abstractNum>
  <w:abstractNum w:abstractNumId="53" w15:restartNumberingAfterBreak="0">
    <w:nsid w:val="37FB4A24"/>
    <w:multiLevelType w:val="hybridMultilevel"/>
    <w:tmpl w:val="F4C2625A"/>
    <w:lvl w:ilvl="0" w:tplc="C842408A">
      <w:start w:val="1"/>
      <w:numFmt w:val="bullet"/>
      <w:lvlText w:val="-"/>
      <w:lvlJc w:val="left"/>
      <w:pPr>
        <w:ind w:left="720" w:hanging="360"/>
      </w:pPr>
      <w:rPr>
        <w:rFonts w:ascii="Aptos" w:hAnsi="Apto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9CE4854"/>
    <w:multiLevelType w:val="hybridMultilevel"/>
    <w:tmpl w:val="2910B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EA0A34"/>
    <w:multiLevelType w:val="hybridMultilevel"/>
    <w:tmpl w:val="66F8C3EA"/>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3A201307"/>
    <w:multiLevelType w:val="hybridMultilevel"/>
    <w:tmpl w:val="6B306C16"/>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AD0033D"/>
    <w:multiLevelType w:val="hybridMultilevel"/>
    <w:tmpl w:val="BC8AA48A"/>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3BB13F6C"/>
    <w:multiLevelType w:val="multilevel"/>
    <w:tmpl w:val="6C0EC10E"/>
    <w:lvl w:ilvl="0">
      <w:start w:val="1"/>
      <w:numFmt w:val="bullet"/>
      <w:pStyle w:val="T-Bullets"/>
      <w:lvlText w:val=""/>
      <w:lvlJc w:val="left"/>
      <w:pPr>
        <w:ind w:left="504" w:hanging="360"/>
      </w:pPr>
      <w:rPr>
        <w:rFonts w:ascii="Symbol" w:hAnsi="Symbol" w:hint="default"/>
        <w:b w:val="0"/>
        <w:i w:val="0"/>
        <w:caps w:val="0"/>
        <w:strike w:val="0"/>
        <w:dstrike w:val="0"/>
        <w:vanish w:val="0"/>
        <w:color w:val="FFFFFF" w:themeColor="background2"/>
        <w:spacing w:val="0"/>
        <w:w w:val="100"/>
        <w:kern w:val="0"/>
        <w:position w:val="0"/>
        <w:sz w:val="16"/>
        <w:u w:val="none"/>
        <w:vertAlign w:val="baseline"/>
        <w14:cntxtAlts w14:val="0"/>
      </w:rPr>
    </w:lvl>
    <w:lvl w:ilvl="1">
      <w:start w:val="1"/>
      <w:numFmt w:val="bullet"/>
      <w:lvlText w:val=""/>
      <w:lvlJc w:val="left"/>
      <w:pPr>
        <w:ind w:left="720" w:hanging="144"/>
      </w:pPr>
      <w:rPr>
        <w:rFonts w:ascii="Symbol" w:hAnsi="Symbol" w:hint="default"/>
        <w:b w:val="0"/>
        <w:i w:val="0"/>
        <w:caps w:val="0"/>
        <w:strike w:val="0"/>
        <w:dstrike w:val="0"/>
        <w:vanish w:val="0"/>
        <w:color w:val="FFFFFF" w:themeColor="background2"/>
        <w:sz w:val="16"/>
        <w:vertAlign w:val="baseline"/>
      </w:rPr>
    </w:lvl>
    <w:lvl w:ilvl="2">
      <w:start w:val="1"/>
      <w:numFmt w:val="bullet"/>
      <w:lvlText w:val=""/>
      <w:lvlJc w:val="left"/>
      <w:pPr>
        <w:ind w:left="1008" w:hanging="144"/>
      </w:pPr>
      <w:rPr>
        <w:rFonts w:ascii="Symbol" w:hAnsi="Symbol" w:hint="default"/>
        <w:b w:val="0"/>
        <w:i w:val="0"/>
        <w:caps w:val="0"/>
        <w:strike w:val="0"/>
        <w:dstrike w:val="0"/>
        <w:vanish w:val="0"/>
        <w:color w:val="FFFFFF" w:themeColor="background2"/>
        <w:sz w:val="16"/>
        <w:vertAlign w:val="baseline"/>
      </w:rPr>
    </w:lvl>
    <w:lvl w:ilvl="3">
      <w:start w:val="1"/>
      <w:numFmt w:val="bullet"/>
      <w:lvlText w:val=""/>
      <w:lvlJc w:val="left"/>
      <w:pPr>
        <w:ind w:left="1296" w:hanging="144"/>
      </w:pPr>
      <w:rPr>
        <w:rFonts w:ascii="Symbol" w:hAnsi="Symbol" w:hint="default"/>
        <w:b w:val="0"/>
        <w:i w:val="0"/>
        <w:caps w:val="0"/>
        <w:strike w:val="0"/>
        <w:dstrike w:val="0"/>
        <w:vanish w:val="0"/>
        <w:color w:val="FFFFFF" w:themeColor="background2"/>
        <w:sz w:val="16"/>
        <w:vertAlign w:val="baseline"/>
      </w:rPr>
    </w:lvl>
    <w:lvl w:ilvl="4">
      <w:start w:val="1"/>
      <w:numFmt w:val="bullet"/>
      <w:lvlText w:val=""/>
      <w:lvlJc w:val="left"/>
      <w:pPr>
        <w:ind w:left="1584" w:hanging="144"/>
      </w:pPr>
      <w:rPr>
        <w:rFonts w:ascii="Symbol" w:hAnsi="Symbol" w:hint="default"/>
        <w:b w:val="0"/>
        <w:i w:val="0"/>
        <w:caps w:val="0"/>
        <w:strike w:val="0"/>
        <w:dstrike w:val="0"/>
        <w:vanish w:val="0"/>
        <w:color w:val="FFFFFF" w:themeColor="background2"/>
        <w:sz w:val="16"/>
        <w:vertAlign w:val="baseline"/>
      </w:rPr>
    </w:lvl>
    <w:lvl w:ilvl="5">
      <w:start w:val="1"/>
      <w:numFmt w:val="bullet"/>
      <w:lvlText w:val=""/>
      <w:lvlJc w:val="left"/>
      <w:pPr>
        <w:ind w:left="1872" w:hanging="144"/>
      </w:pPr>
      <w:rPr>
        <w:rFonts w:ascii="Symbol" w:hAnsi="Symbol" w:hint="default"/>
        <w:b w:val="0"/>
        <w:i w:val="0"/>
        <w:caps w:val="0"/>
        <w:strike w:val="0"/>
        <w:dstrike w:val="0"/>
        <w:vanish w:val="0"/>
        <w:color w:val="FFFFFF" w:themeColor="background2"/>
        <w:sz w:val="16"/>
        <w:vertAlign w:val="baseline"/>
      </w:rPr>
    </w:lvl>
    <w:lvl w:ilvl="6">
      <w:start w:val="1"/>
      <w:numFmt w:val="bullet"/>
      <w:lvlText w:val=""/>
      <w:lvlJc w:val="left"/>
      <w:pPr>
        <w:ind w:left="2160" w:hanging="144"/>
      </w:pPr>
      <w:rPr>
        <w:rFonts w:ascii="Symbol" w:hAnsi="Symbol" w:hint="default"/>
        <w:b w:val="0"/>
        <w:i w:val="0"/>
        <w:caps w:val="0"/>
        <w:strike w:val="0"/>
        <w:dstrike w:val="0"/>
        <w:vanish w:val="0"/>
        <w:color w:val="FFFFFF" w:themeColor="background2"/>
        <w:sz w:val="16"/>
        <w:vertAlign w:val="baseline"/>
      </w:rPr>
    </w:lvl>
    <w:lvl w:ilvl="7">
      <w:start w:val="1"/>
      <w:numFmt w:val="bullet"/>
      <w:lvlText w:val=""/>
      <w:lvlJc w:val="left"/>
      <w:pPr>
        <w:ind w:left="2448" w:hanging="144"/>
      </w:pPr>
      <w:rPr>
        <w:rFonts w:ascii="Symbol" w:hAnsi="Symbol" w:hint="default"/>
        <w:b w:val="0"/>
        <w:i w:val="0"/>
        <w:caps w:val="0"/>
        <w:strike w:val="0"/>
        <w:dstrike w:val="0"/>
        <w:vanish w:val="0"/>
        <w:color w:val="FFFFFF" w:themeColor="background2"/>
        <w:sz w:val="16"/>
        <w:vertAlign w:val="baseline"/>
      </w:rPr>
    </w:lvl>
    <w:lvl w:ilvl="8">
      <w:start w:val="1"/>
      <w:numFmt w:val="bullet"/>
      <w:lvlText w:val=""/>
      <w:lvlJc w:val="left"/>
      <w:pPr>
        <w:ind w:left="2736" w:hanging="144"/>
      </w:pPr>
      <w:rPr>
        <w:rFonts w:ascii="Symbol" w:hAnsi="Symbol" w:hint="default"/>
        <w:b w:val="0"/>
        <w:i w:val="0"/>
        <w:caps w:val="0"/>
        <w:strike w:val="0"/>
        <w:dstrike w:val="0"/>
        <w:vanish w:val="0"/>
        <w:color w:val="FFFFFF" w:themeColor="background2"/>
        <w:sz w:val="16"/>
        <w:vertAlign w:val="baseline"/>
      </w:rPr>
    </w:lvl>
  </w:abstractNum>
  <w:abstractNum w:abstractNumId="59" w15:restartNumberingAfterBreak="0">
    <w:nsid w:val="3E050EB7"/>
    <w:multiLevelType w:val="hybridMultilevel"/>
    <w:tmpl w:val="18CA4CE8"/>
    <w:lvl w:ilvl="0" w:tplc="1DEEA9BC">
      <w:start w:val="1"/>
      <w:numFmt w:val="upperLetter"/>
      <w:pStyle w:val="Lists-Letters"/>
      <w:lvlText w:val="%1."/>
      <w:lvlJc w:val="left"/>
      <w:pPr>
        <w:ind w:left="648" w:hanging="360"/>
      </w:pPr>
      <w:rPr>
        <w:rFonts w:ascii="Arial" w:hAnsi="Arial" w:hint="default"/>
        <w:b/>
        <w:i w:val="0"/>
        <w:color w:val="FFFFFF" w:themeColor="background2"/>
        <w:sz w:val="2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60" w15:restartNumberingAfterBreak="0">
    <w:nsid w:val="3EE639DB"/>
    <w:multiLevelType w:val="hybridMultilevel"/>
    <w:tmpl w:val="8ED04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FE023F3"/>
    <w:multiLevelType w:val="hybridMultilevel"/>
    <w:tmpl w:val="94D8CD7A"/>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3FFE2569"/>
    <w:multiLevelType w:val="hybridMultilevel"/>
    <w:tmpl w:val="966E9468"/>
    <w:lvl w:ilvl="0" w:tplc="DC50A9E0">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03D1ED5"/>
    <w:multiLevelType w:val="hybridMultilevel"/>
    <w:tmpl w:val="02BC3A8E"/>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424922AC"/>
    <w:multiLevelType w:val="multilevel"/>
    <w:tmpl w:val="AEF0A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424E7223"/>
    <w:multiLevelType w:val="hybridMultilevel"/>
    <w:tmpl w:val="0818EDEE"/>
    <w:lvl w:ilvl="0" w:tplc="750CA704">
      <w:start w:val="1"/>
      <w:numFmt w:val="bullet"/>
      <w:lvlText w:val=""/>
      <w:lvlJc w:val="left"/>
      <w:pPr>
        <w:ind w:left="720" w:hanging="360"/>
      </w:pPr>
      <w:rPr>
        <w:rFonts w:ascii="Symbol" w:hAnsi="Symbol" w:hint="default"/>
        <w:color w:val="6FAD45"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2980D97"/>
    <w:multiLevelType w:val="hybridMultilevel"/>
    <w:tmpl w:val="3222B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3B3651F"/>
    <w:multiLevelType w:val="hybridMultilevel"/>
    <w:tmpl w:val="27FE8788"/>
    <w:lvl w:ilvl="0" w:tplc="933E3E80">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6270DEF"/>
    <w:multiLevelType w:val="hybridMultilevel"/>
    <w:tmpl w:val="9E304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67940B0"/>
    <w:multiLevelType w:val="multilevel"/>
    <w:tmpl w:val="87203BCE"/>
    <w:lvl w:ilvl="0">
      <w:start w:val="1"/>
      <w:numFmt w:val="decimal"/>
      <w:suff w:val="space"/>
      <w:lvlText w:val="%1.0"/>
      <w:lvlJc w:val="left"/>
      <w:pPr>
        <w:ind w:left="0" w:firstLine="0"/>
      </w:pPr>
      <w:rPr>
        <w:rFonts w:asciiTheme="majorHAnsi" w:hAnsiTheme="majorHAnsi" w:hint="default"/>
        <w:b/>
        <w:i w:val="0"/>
        <w:color w:val="FFFFFF" w:themeColor="background2"/>
        <w:sz w:val="24"/>
      </w:rPr>
    </w:lvl>
    <w:lvl w:ilvl="1">
      <w:start w:val="1"/>
      <w:numFmt w:val="decimal"/>
      <w:suff w:val="space"/>
      <w:lvlText w:val="%1.%2"/>
      <w:lvlJc w:val="left"/>
      <w:pPr>
        <w:ind w:left="0" w:firstLine="0"/>
      </w:pPr>
      <w:rPr>
        <w:rFonts w:asciiTheme="majorHAnsi" w:hAnsiTheme="majorHAnsi" w:hint="default"/>
        <w:b/>
        <w:i w:val="0"/>
        <w:caps w:val="0"/>
        <w:color w:val="6FAD45" w:themeColor="accent1"/>
        <w:sz w:val="24"/>
      </w:rPr>
    </w:lvl>
    <w:lvl w:ilvl="2">
      <w:start w:val="1"/>
      <w:numFmt w:val="decimal"/>
      <w:suff w:val="space"/>
      <w:lvlText w:val="%1.%2.%3"/>
      <w:lvlJc w:val="left"/>
      <w:pPr>
        <w:ind w:left="0" w:firstLine="0"/>
      </w:pPr>
      <w:rPr>
        <w:rFonts w:asciiTheme="majorHAnsi" w:hAnsiTheme="majorHAnsi" w:hint="default"/>
        <w:b/>
        <w:i w:val="0"/>
        <w:caps w:val="0"/>
        <w:color w:val="FFD967" w:themeColor="accent2"/>
        <w:sz w:val="24"/>
      </w:rPr>
    </w:lvl>
    <w:lvl w:ilvl="3">
      <w:start w:val="1"/>
      <w:numFmt w:val="decimal"/>
      <w:suff w:val="space"/>
      <w:lvlText w:val="%1.%2.%3.%4"/>
      <w:lvlJc w:val="left"/>
      <w:pPr>
        <w:ind w:left="0" w:firstLine="0"/>
      </w:pPr>
      <w:rPr>
        <w:rFonts w:asciiTheme="majorHAnsi" w:hAnsiTheme="majorHAnsi" w:hint="default"/>
        <w:b/>
        <w:i w:val="0"/>
        <w:caps w:val="0"/>
        <w:color w:val="FFFFFF" w:themeColor="background2"/>
        <w:sz w:val="22"/>
      </w:rPr>
    </w:lvl>
    <w:lvl w:ilvl="4">
      <w:start w:val="1"/>
      <w:numFmt w:val="decimal"/>
      <w:suff w:val="space"/>
      <w:lvlText w:val="%1.%2.%3.%4.%5"/>
      <w:lvlJc w:val="left"/>
      <w:pPr>
        <w:ind w:left="0" w:firstLine="0"/>
      </w:pPr>
      <w:rPr>
        <w:rFonts w:asciiTheme="majorHAnsi" w:hAnsiTheme="majorHAnsi" w:hint="default"/>
        <w:b/>
        <w:i w:val="0"/>
        <w:caps w:val="0"/>
        <w:color w:val="404040" w:themeColor="text1" w:themeTint="BF"/>
        <w:sz w:val="22"/>
      </w:rPr>
    </w:lvl>
    <w:lvl w:ilvl="5">
      <w:start w:val="1"/>
      <w:numFmt w:val="decimal"/>
      <w:suff w:val="space"/>
      <w:lvlText w:val="%1.%2.%3.%4.%5.%6"/>
      <w:lvlJc w:val="left"/>
      <w:pPr>
        <w:ind w:left="0" w:firstLine="360"/>
      </w:pPr>
      <w:rPr>
        <w:rFonts w:asciiTheme="majorHAnsi" w:hAnsiTheme="majorHAnsi" w:hint="default"/>
        <w:b/>
        <w:i w:val="0"/>
        <w:caps w:val="0"/>
        <w:color w:val="7F7F7F" w:themeColor="text1" w:themeTint="80"/>
        <w:sz w:val="22"/>
      </w:rPr>
    </w:lvl>
    <w:lvl w:ilvl="6">
      <w:start w:val="1"/>
      <w:numFmt w:val="decimal"/>
      <w:suff w:val="space"/>
      <w:lvlText w:val="%1.%2.%3.%4.%5.%6.%7"/>
      <w:lvlJc w:val="left"/>
      <w:pPr>
        <w:ind w:left="0" w:firstLine="720"/>
      </w:pPr>
      <w:rPr>
        <w:rFonts w:asciiTheme="majorHAnsi" w:hAnsiTheme="majorHAnsi" w:hint="default"/>
        <w:b/>
        <w:i w:val="0"/>
        <w:caps w:val="0"/>
        <w:color w:val="FFFFFF" w:themeColor="background2"/>
        <w:sz w:val="20"/>
      </w:rPr>
    </w:lvl>
    <w:lvl w:ilvl="7">
      <w:start w:val="1"/>
      <w:numFmt w:val="decimal"/>
      <w:suff w:val="space"/>
      <w:lvlText w:val="%1.%2.%3.%4.%5.%6.%7.%8"/>
      <w:lvlJc w:val="left"/>
      <w:pPr>
        <w:ind w:left="0" w:firstLine="1080"/>
      </w:pPr>
      <w:rPr>
        <w:rFonts w:asciiTheme="majorHAnsi" w:hAnsiTheme="majorHAnsi" w:hint="default"/>
        <w:b/>
        <w:i w:val="0"/>
        <w:caps w:val="0"/>
        <w:color w:val="404040" w:themeColor="text1" w:themeTint="BF"/>
        <w:sz w:val="20"/>
      </w:rPr>
    </w:lvl>
    <w:lvl w:ilvl="8">
      <w:start w:val="1"/>
      <w:numFmt w:val="decimal"/>
      <w:suff w:val="space"/>
      <w:lvlText w:val="%1.%2.%3.%4.%5.%6.%7.%8.%9"/>
      <w:lvlJc w:val="left"/>
      <w:pPr>
        <w:ind w:left="0" w:firstLine="1440"/>
      </w:pPr>
      <w:rPr>
        <w:rFonts w:asciiTheme="majorHAnsi" w:hAnsiTheme="majorHAnsi" w:hint="default"/>
        <w:b/>
        <w:i w:val="0"/>
        <w:caps w:val="0"/>
        <w:color w:val="7F7F7F" w:themeColor="text1" w:themeTint="80"/>
        <w:sz w:val="20"/>
      </w:rPr>
    </w:lvl>
  </w:abstractNum>
  <w:abstractNum w:abstractNumId="70" w15:restartNumberingAfterBreak="0">
    <w:nsid w:val="47CC2141"/>
    <w:multiLevelType w:val="hybridMultilevel"/>
    <w:tmpl w:val="03205B0E"/>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48DA99F3"/>
    <w:multiLevelType w:val="hybridMultilevel"/>
    <w:tmpl w:val="FFFFFFFF"/>
    <w:lvl w:ilvl="0" w:tplc="2B0A8104">
      <w:start w:val="1"/>
      <w:numFmt w:val="bullet"/>
      <w:lvlText w:val=""/>
      <w:lvlJc w:val="left"/>
      <w:pPr>
        <w:ind w:left="720" w:hanging="360"/>
      </w:pPr>
      <w:rPr>
        <w:rFonts w:ascii="Symbol" w:hAnsi="Symbol" w:hint="default"/>
      </w:rPr>
    </w:lvl>
    <w:lvl w:ilvl="1" w:tplc="0B0C2B54">
      <w:start w:val="1"/>
      <w:numFmt w:val="bullet"/>
      <w:lvlText w:val="o"/>
      <w:lvlJc w:val="left"/>
      <w:pPr>
        <w:ind w:left="1440" w:hanging="360"/>
      </w:pPr>
      <w:rPr>
        <w:rFonts w:ascii="Courier New" w:hAnsi="Courier New" w:hint="default"/>
      </w:rPr>
    </w:lvl>
    <w:lvl w:ilvl="2" w:tplc="88F81C18">
      <w:start w:val="1"/>
      <w:numFmt w:val="bullet"/>
      <w:lvlText w:val=""/>
      <w:lvlJc w:val="left"/>
      <w:pPr>
        <w:ind w:left="2160" w:hanging="360"/>
      </w:pPr>
      <w:rPr>
        <w:rFonts w:ascii="Wingdings" w:hAnsi="Wingdings" w:hint="default"/>
      </w:rPr>
    </w:lvl>
    <w:lvl w:ilvl="3" w:tplc="23F2688E">
      <w:start w:val="1"/>
      <w:numFmt w:val="bullet"/>
      <w:lvlText w:val=""/>
      <w:lvlJc w:val="left"/>
      <w:pPr>
        <w:ind w:left="2880" w:hanging="360"/>
      </w:pPr>
      <w:rPr>
        <w:rFonts w:ascii="Symbol" w:hAnsi="Symbol" w:hint="default"/>
      </w:rPr>
    </w:lvl>
    <w:lvl w:ilvl="4" w:tplc="86D2BFE0">
      <w:start w:val="1"/>
      <w:numFmt w:val="bullet"/>
      <w:lvlText w:val="o"/>
      <w:lvlJc w:val="left"/>
      <w:pPr>
        <w:ind w:left="3600" w:hanging="360"/>
      </w:pPr>
      <w:rPr>
        <w:rFonts w:ascii="Courier New" w:hAnsi="Courier New" w:hint="default"/>
      </w:rPr>
    </w:lvl>
    <w:lvl w:ilvl="5" w:tplc="A748F680">
      <w:start w:val="1"/>
      <w:numFmt w:val="bullet"/>
      <w:lvlText w:val=""/>
      <w:lvlJc w:val="left"/>
      <w:pPr>
        <w:ind w:left="4320" w:hanging="360"/>
      </w:pPr>
      <w:rPr>
        <w:rFonts w:ascii="Wingdings" w:hAnsi="Wingdings" w:hint="default"/>
      </w:rPr>
    </w:lvl>
    <w:lvl w:ilvl="6" w:tplc="4A622766">
      <w:start w:val="1"/>
      <w:numFmt w:val="bullet"/>
      <w:lvlText w:val=""/>
      <w:lvlJc w:val="left"/>
      <w:pPr>
        <w:ind w:left="5040" w:hanging="360"/>
      </w:pPr>
      <w:rPr>
        <w:rFonts w:ascii="Symbol" w:hAnsi="Symbol" w:hint="default"/>
      </w:rPr>
    </w:lvl>
    <w:lvl w:ilvl="7" w:tplc="F9AAA02E">
      <w:start w:val="1"/>
      <w:numFmt w:val="bullet"/>
      <w:lvlText w:val="o"/>
      <w:lvlJc w:val="left"/>
      <w:pPr>
        <w:ind w:left="5760" w:hanging="360"/>
      </w:pPr>
      <w:rPr>
        <w:rFonts w:ascii="Courier New" w:hAnsi="Courier New" w:hint="default"/>
      </w:rPr>
    </w:lvl>
    <w:lvl w:ilvl="8" w:tplc="AE98A072">
      <w:start w:val="1"/>
      <w:numFmt w:val="bullet"/>
      <w:lvlText w:val=""/>
      <w:lvlJc w:val="left"/>
      <w:pPr>
        <w:ind w:left="6480" w:hanging="360"/>
      </w:pPr>
      <w:rPr>
        <w:rFonts w:ascii="Wingdings" w:hAnsi="Wingdings" w:hint="default"/>
      </w:rPr>
    </w:lvl>
  </w:abstractNum>
  <w:abstractNum w:abstractNumId="72" w15:restartNumberingAfterBreak="0">
    <w:nsid w:val="49AD32B1"/>
    <w:multiLevelType w:val="hybridMultilevel"/>
    <w:tmpl w:val="E4E4C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A7C0BFD"/>
    <w:multiLevelType w:val="hybridMultilevel"/>
    <w:tmpl w:val="FFFFFFFF"/>
    <w:lvl w:ilvl="0" w:tplc="234EB496">
      <w:start w:val="1"/>
      <w:numFmt w:val="bullet"/>
      <w:lvlText w:val=""/>
      <w:lvlJc w:val="left"/>
      <w:pPr>
        <w:ind w:left="720" w:hanging="360"/>
      </w:pPr>
      <w:rPr>
        <w:rFonts w:ascii="Symbol" w:hAnsi="Symbol" w:hint="default"/>
      </w:rPr>
    </w:lvl>
    <w:lvl w:ilvl="1" w:tplc="7C2296A2">
      <w:start w:val="1"/>
      <w:numFmt w:val="bullet"/>
      <w:lvlText w:val="o"/>
      <w:lvlJc w:val="left"/>
      <w:pPr>
        <w:ind w:left="1440" w:hanging="360"/>
      </w:pPr>
      <w:rPr>
        <w:rFonts w:ascii="Courier New" w:hAnsi="Courier New" w:hint="default"/>
      </w:rPr>
    </w:lvl>
    <w:lvl w:ilvl="2" w:tplc="65D2BEA8">
      <w:start w:val="1"/>
      <w:numFmt w:val="bullet"/>
      <w:lvlText w:val=""/>
      <w:lvlJc w:val="left"/>
      <w:pPr>
        <w:ind w:left="2160" w:hanging="360"/>
      </w:pPr>
      <w:rPr>
        <w:rFonts w:ascii="Wingdings" w:hAnsi="Wingdings" w:hint="default"/>
      </w:rPr>
    </w:lvl>
    <w:lvl w:ilvl="3" w:tplc="BBF8A29E">
      <w:start w:val="1"/>
      <w:numFmt w:val="bullet"/>
      <w:lvlText w:val=""/>
      <w:lvlJc w:val="left"/>
      <w:pPr>
        <w:ind w:left="2880" w:hanging="360"/>
      </w:pPr>
      <w:rPr>
        <w:rFonts w:ascii="Symbol" w:hAnsi="Symbol" w:hint="default"/>
      </w:rPr>
    </w:lvl>
    <w:lvl w:ilvl="4" w:tplc="1E0026C4">
      <w:start w:val="1"/>
      <w:numFmt w:val="bullet"/>
      <w:lvlText w:val="o"/>
      <w:lvlJc w:val="left"/>
      <w:pPr>
        <w:ind w:left="3600" w:hanging="360"/>
      </w:pPr>
      <w:rPr>
        <w:rFonts w:ascii="Courier New" w:hAnsi="Courier New" w:hint="default"/>
      </w:rPr>
    </w:lvl>
    <w:lvl w:ilvl="5" w:tplc="A6B84F8A">
      <w:start w:val="1"/>
      <w:numFmt w:val="bullet"/>
      <w:lvlText w:val=""/>
      <w:lvlJc w:val="left"/>
      <w:pPr>
        <w:ind w:left="4320" w:hanging="360"/>
      </w:pPr>
      <w:rPr>
        <w:rFonts w:ascii="Wingdings" w:hAnsi="Wingdings" w:hint="default"/>
      </w:rPr>
    </w:lvl>
    <w:lvl w:ilvl="6" w:tplc="BBC28898">
      <w:start w:val="1"/>
      <w:numFmt w:val="bullet"/>
      <w:lvlText w:val=""/>
      <w:lvlJc w:val="left"/>
      <w:pPr>
        <w:ind w:left="5040" w:hanging="360"/>
      </w:pPr>
      <w:rPr>
        <w:rFonts w:ascii="Symbol" w:hAnsi="Symbol" w:hint="default"/>
      </w:rPr>
    </w:lvl>
    <w:lvl w:ilvl="7" w:tplc="C62621B8">
      <w:start w:val="1"/>
      <w:numFmt w:val="bullet"/>
      <w:lvlText w:val="o"/>
      <w:lvlJc w:val="left"/>
      <w:pPr>
        <w:ind w:left="5760" w:hanging="360"/>
      </w:pPr>
      <w:rPr>
        <w:rFonts w:ascii="Courier New" w:hAnsi="Courier New" w:hint="default"/>
      </w:rPr>
    </w:lvl>
    <w:lvl w:ilvl="8" w:tplc="D318CCC6">
      <w:start w:val="1"/>
      <w:numFmt w:val="bullet"/>
      <w:lvlText w:val=""/>
      <w:lvlJc w:val="left"/>
      <w:pPr>
        <w:ind w:left="6480" w:hanging="360"/>
      </w:pPr>
      <w:rPr>
        <w:rFonts w:ascii="Wingdings" w:hAnsi="Wingdings" w:hint="default"/>
      </w:rPr>
    </w:lvl>
  </w:abstractNum>
  <w:abstractNum w:abstractNumId="74" w15:restartNumberingAfterBreak="0">
    <w:nsid w:val="4E641E9F"/>
    <w:multiLevelType w:val="hybridMultilevel"/>
    <w:tmpl w:val="C7C2032E"/>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4F6C1DA5"/>
    <w:multiLevelType w:val="hybridMultilevel"/>
    <w:tmpl w:val="E354A040"/>
    <w:lvl w:ilvl="0" w:tplc="3C24B408">
      <w:start w:val="2"/>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0A05046"/>
    <w:multiLevelType w:val="hybridMultilevel"/>
    <w:tmpl w:val="EB08458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0A7679D"/>
    <w:multiLevelType w:val="hybridMultilevel"/>
    <w:tmpl w:val="052225D6"/>
    <w:lvl w:ilvl="0" w:tplc="D2B4CDD6">
      <w:start w:val="1"/>
      <w:numFmt w:val="bullet"/>
      <w:pStyle w:val="R-ExpHighlightHeader"/>
      <w:lvlText w:val=""/>
      <w:lvlJc w:val="left"/>
      <w:pPr>
        <w:ind w:left="504" w:hanging="360"/>
      </w:pPr>
      <w:rPr>
        <w:rFonts w:ascii="Symbol" w:hAnsi="Symbol" w:hint="default"/>
        <w:color w:val="FFD967" w:themeColor="accent2"/>
        <w:sz w:val="20"/>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78" w15:restartNumberingAfterBreak="0">
    <w:nsid w:val="51358C86"/>
    <w:multiLevelType w:val="hybridMultilevel"/>
    <w:tmpl w:val="FFFFFFFF"/>
    <w:lvl w:ilvl="0" w:tplc="F910A1CE">
      <w:start w:val="1"/>
      <w:numFmt w:val="bullet"/>
      <w:lvlText w:val="-"/>
      <w:lvlJc w:val="left"/>
      <w:pPr>
        <w:ind w:left="720" w:hanging="360"/>
      </w:pPr>
      <w:rPr>
        <w:rFonts w:ascii="Aptos" w:hAnsi="Aptos" w:hint="default"/>
      </w:rPr>
    </w:lvl>
    <w:lvl w:ilvl="1" w:tplc="0954410C">
      <w:start w:val="1"/>
      <w:numFmt w:val="bullet"/>
      <w:lvlText w:val="o"/>
      <w:lvlJc w:val="left"/>
      <w:pPr>
        <w:ind w:left="1440" w:hanging="360"/>
      </w:pPr>
      <w:rPr>
        <w:rFonts w:ascii="Courier New" w:hAnsi="Courier New" w:hint="default"/>
      </w:rPr>
    </w:lvl>
    <w:lvl w:ilvl="2" w:tplc="BD063C96">
      <w:start w:val="1"/>
      <w:numFmt w:val="bullet"/>
      <w:lvlText w:val=""/>
      <w:lvlJc w:val="left"/>
      <w:pPr>
        <w:ind w:left="2160" w:hanging="360"/>
      </w:pPr>
      <w:rPr>
        <w:rFonts w:ascii="Wingdings" w:hAnsi="Wingdings" w:hint="default"/>
      </w:rPr>
    </w:lvl>
    <w:lvl w:ilvl="3" w:tplc="CA48B402">
      <w:start w:val="1"/>
      <w:numFmt w:val="bullet"/>
      <w:lvlText w:val=""/>
      <w:lvlJc w:val="left"/>
      <w:pPr>
        <w:ind w:left="2880" w:hanging="360"/>
      </w:pPr>
      <w:rPr>
        <w:rFonts w:ascii="Symbol" w:hAnsi="Symbol" w:hint="default"/>
      </w:rPr>
    </w:lvl>
    <w:lvl w:ilvl="4" w:tplc="5816BD38">
      <w:start w:val="1"/>
      <w:numFmt w:val="bullet"/>
      <w:lvlText w:val="o"/>
      <w:lvlJc w:val="left"/>
      <w:pPr>
        <w:ind w:left="3600" w:hanging="360"/>
      </w:pPr>
      <w:rPr>
        <w:rFonts w:ascii="Courier New" w:hAnsi="Courier New" w:hint="default"/>
      </w:rPr>
    </w:lvl>
    <w:lvl w:ilvl="5" w:tplc="97BA577A">
      <w:start w:val="1"/>
      <w:numFmt w:val="bullet"/>
      <w:lvlText w:val=""/>
      <w:lvlJc w:val="left"/>
      <w:pPr>
        <w:ind w:left="4320" w:hanging="360"/>
      </w:pPr>
      <w:rPr>
        <w:rFonts w:ascii="Wingdings" w:hAnsi="Wingdings" w:hint="default"/>
      </w:rPr>
    </w:lvl>
    <w:lvl w:ilvl="6" w:tplc="53EE580E">
      <w:start w:val="1"/>
      <w:numFmt w:val="bullet"/>
      <w:lvlText w:val=""/>
      <w:lvlJc w:val="left"/>
      <w:pPr>
        <w:ind w:left="5040" w:hanging="360"/>
      </w:pPr>
      <w:rPr>
        <w:rFonts w:ascii="Symbol" w:hAnsi="Symbol" w:hint="default"/>
      </w:rPr>
    </w:lvl>
    <w:lvl w:ilvl="7" w:tplc="9984C938">
      <w:start w:val="1"/>
      <w:numFmt w:val="bullet"/>
      <w:lvlText w:val="o"/>
      <w:lvlJc w:val="left"/>
      <w:pPr>
        <w:ind w:left="5760" w:hanging="360"/>
      </w:pPr>
      <w:rPr>
        <w:rFonts w:ascii="Courier New" w:hAnsi="Courier New" w:hint="default"/>
      </w:rPr>
    </w:lvl>
    <w:lvl w:ilvl="8" w:tplc="E116AD3A">
      <w:start w:val="1"/>
      <w:numFmt w:val="bullet"/>
      <w:lvlText w:val=""/>
      <w:lvlJc w:val="left"/>
      <w:pPr>
        <w:ind w:left="6480" w:hanging="360"/>
      </w:pPr>
      <w:rPr>
        <w:rFonts w:ascii="Wingdings" w:hAnsi="Wingdings" w:hint="default"/>
      </w:rPr>
    </w:lvl>
  </w:abstractNum>
  <w:abstractNum w:abstractNumId="79" w15:restartNumberingAfterBreak="0">
    <w:nsid w:val="51F2762F"/>
    <w:multiLevelType w:val="hybridMultilevel"/>
    <w:tmpl w:val="67D27208"/>
    <w:lvl w:ilvl="0" w:tplc="C842408A">
      <w:start w:val="1"/>
      <w:numFmt w:val="bullet"/>
      <w:lvlText w:val="-"/>
      <w:lvlJc w:val="left"/>
      <w:pPr>
        <w:ind w:left="720" w:hanging="360"/>
      </w:pPr>
      <w:rPr>
        <w:rFonts w:ascii="Aptos" w:hAnsi="Apto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26BF29D"/>
    <w:multiLevelType w:val="hybridMultilevel"/>
    <w:tmpl w:val="FFFFFFFF"/>
    <w:lvl w:ilvl="0" w:tplc="9014B410">
      <w:start w:val="1"/>
      <w:numFmt w:val="bullet"/>
      <w:lvlText w:val=""/>
      <w:lvlJc w:val="left"/>
      <w:pPr>
        <w:ind w:left="720" w:hanging="360"/>
      </w:pPr>
      <w:rPr>
        <w:rFonts w:ascii="Symbol" w:hAnsi="Symbol" w:hint="default"/>
      </w:rPr>
    </w:lvl>
    <w:lvl w:ilvl="1" w:tplc="801AD1A4">
      <w:start w:val="1"/>
      <w:numFmt w:val="bullet"/>
      <w:lvlText w:val="o"/>
      <w:lvlJc w:val="left"/>
      <w:pPr>
        <w:ind w:left="1440" w:hanging="360"/>
      </w:pPr>
      <w:rPr>
        <w:rFonts w:ascii="Courier New" w:hAnsi="Courier New" w:hint="default"/>
      </w:rPr>
    </w:lvl>
    <w:lvl w:ilvl="2" w:tplc="0E1E0C8A">
      <w:start w:val="1"/>
      <w:numFmt w:val="bullet"/>
      <w:lvlText w:val=""/>
      <w:lvlJc w:val="left"/>
      <w:pPr>
        <w:ind w:left="2160" w:hanging="360"/>
      </w:pPr>
      <w:rPr>
        <w:rFonts w:ascii="Wingdings" w:hAnsi="Wingdings" w:hint="default"/>
      </w:rPr>
    </w:lvl>
    <w:lvl w:ilvl="3" w:tplc="60C03C40">
      <w:start w:val="1"/>
      <w:numFmt w:val="bullet"/>
      <w:lvlText w:val=""/>
      <w:lvlJc w:val="left"/>
      <w:pPr>
        <w:ind w:left="2880" w:hanging="360"/>
      </w:pPr>
      <w:rPr>
        <w:rFonts w:ascii="Symbol" w:hAnsi="Symbol" w:hint="default"/>
      </w:rPr>
    </w:lvl>
    <w:lvl w:ilvl="4" w:tplc="F774E80A">
      <w:start w:val="1"/>
      <w:numFmt w:val="bullet"/>
      <w:lvlText w:val="o"/>
      <w:lvlJc w:val="left"/>
      <w:pPr>
        <w:ind w:left="3600" w:hanging="360"/>
      </w:pPr>
      <w:rPr>
        <w:rFonts w:ascii="Courier New" w:hAnsi="Courier New" w:hint="default"/>
      </w:rPr>
    </w:lvl>
    <w:lvl w:ilvl="5" w:tplc="860C22C2">
      <w:start w:val="1"/>
      <w:numFmt w:val="bullet"/>
      <w:lvlText w:val=""/>
      <w:lvlJc w:val="left"/>
      <w:pPr>
        <w:ind w:left="4320" w:hanging="360"/>
      </w:pPr>
      <w:rPr>
        <w:rFonts w:ascii="Wingdings" w:hAnsi="Wingdings" w:hint="default"/>
      </w:rPr>
    </w:lvl>
    <w:lvl w:ilvl="6" w:tplc="D292D20A">
      <w:start w:val="1"/>
      <w:numFmt w:val="bullet"/>
      <w:lvlText w:val=""/>
      <w:lvlJc w:val="left"/>
      <w:pPr>
        <w:ind w:left="5040" w:hanging="360"/>
      </w:pPr>
      <w:rPr>
        <w:rFonts w:ascii="Symbol" w:hAnsi="Symbol" w:hint="default"/>
      </w:rPr>
    </w:lvl>
    <w:lvl w:ilvl="7" w:tplc="58A2D534">
      <w:start w:val="1"/>
      <w:numFmt w:val="bullet"/>
      <w:lvlText w:val="o"/>
      <w:lvlJc w:val="left"/>
      <w:pPr>
        <w:ind w:left="5760" w:hanging="360"/>
      </w:pPr>
      <w:rPr>
        <w:rFonts w:ascii="Courier New" w:hAnsi="Courier New" w:hint="default"/>
      </w:rPr>
    </w:lvl>
    <w:lvl w:ilvl="8" w:tplc="AC8C1A28">
      <w:start w:val="1"/>
      <w:numFmt w:val="bullet"/>
      <w:lvlText w:val=""/>
      <w:lvlJc w:val="left"/>
      <w:pPr>
        <w:ind w:left="6480" w:hanging="360"/>
      </w:pPr>
      <w:rPr>
        <w:rFonts w:ascii="Wingdings" w:hAnsi="Wingdings" w:hint="default"/>
      </w:rPr>
    </w:lvl>
  </w:abstractNum>
  <w:abstractNum w:abstractNumId="81" w15:restartNumberingAfterBreak="0">
    <w:nsid w:val="53BC25E7"/>
    <w:multiLevelType w:val="hybridMultilevel"/>
    <w:tmpl w:val="0DCC9E9C"/>
    <w:lvl w:ilvl="0" w:tplc="750CA704">
      <w:start w:val="1"/>
      <w:numFmt w:val="bullet"/>
      <w:lvlText w:val=""/>
      <w:lvlJc w:val="left"/>
      <w:pPr>
        <w:ind w:left="720" w:hanging="360"/>
      </w:pPr>
      <w:rPr>
        <w:rFonts w:ascii="Symbol" w:hAnsi="Symbol" w:hint="default"/>
        <w:color w:val="6FAD45"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47D1306"/>
    <w:multiLevelType w:val="hybridMultilevel"/>
    <w:tmpl w:val="E4D08482"/>
    <w:lvl w:ilvl="0" w:tplc="4AD88FE6">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6165EAC"/>
    <w:multiLevelType w:val="hybridMultilevel"/>
    <w:tmpl w:val="9388437C"/>
    <w:lvl w:ilvl="0" w:tplc="C842408A">
      <w:start w:val="1"/>
      <w:numFmt w:val="bullet"/>
      <w:lvlText w:val="-"/>
      <w:lvlJc w:val="left"/>
      <w:pPr>
        <w:ind w:left="1080" w:hanging="360"/>
      </w:pPr>
      <w:rPr>
        <w:rFonts w:ascii="Aptos" w:hAnsi="Apto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15:restartNumberingAfterBreak="0">
    <w:nsid w:val="587967EA"/>
    <w:multiLevelType w:val="hybridMultilevel"/>
    <w:tmpl w:val="B8BA3C64"/>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58A57520"/>
    <w:multiLevelType w:val="hybridMultilevel"/>
    <w:tmpl w:val="FEE075B0"/>
    <w:lvl w:ilvl="0" w:tplc="719CFC48">
      <w:start w:val="1"/>
      <w:numFmt w:val="decimal"/>
      <w:pStyle w:val="Lists-Numbers"/>
      <w:lvlText w:val="%1."/>
      <w:lvlJc w:val="left"/>
      <w:pPr>
        <w:ind w:left="648" w:hanging="360"/>
      </w:pPr>
      <w:rPr>
        <w:rFonts w:ascii="Arial" w:hAnsi="Arial" w:hint="default"/>
        <w:b/>
        <w:i w:val="0"/>
        <w:color w:val="FFFFFF" w:themeColor="background2"/>
        <w:sz w:val="2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86" w15:restartNumberingAfterBreak="0">
    <w:nsid w:val="5BAD3A12"/>
    <w:multiLevelType w:val="hybridMultilevel"/>
    <w:tmpl w:val="EFF2D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BDA7D27"/>
    <w:multiLevelType w:val="hybridMultilevel"/>
    <w:tmpl w:val="0820F74E"/>
    <w:lvl w:ilvl="0" w:tplc="C842408A">
      <w:start w:val="1"/>
      <w:numFmt w:val="bullet"/>
      <w:lvlText w:val="-"/>
      <w:lvlJc w:val="left"/>
      <w:pPr>
        <w:ind w:left="720" w:hanging="360"/>
      </w:pPr>
      <w:rPr>
        <w:rFonts w:ascii="Aptos" w:hAnsi="Apto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D3626BB"/>
    <w:multiLevelType w:val="hybridMultilevel"/>
    <w:tmpl w:val="16EEEB6E"/>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5D6E1E98"/>
    <w:multiLevelType w:val="hybridMultilevel"/>
    <w:tmpl w:val="F8AC8816"/>
    <w:lvl w:ilvl="0" w:tplc="404874CA">
      <w:start w:val="1"/>
      <w:numFmt w:val="bullet"/>
      <w:pStyle w:val="Bullets"/>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5FA33D62"/>
    <w:multiLevelType w:val="hybridMultilevel"/>
    <w:tmpl w:val="20584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0381B46"/>
    <w:multiLevelType w:val="hybridMultilevel"/>
    <w:tmpl w:val="64E87A6A"/>
    <w:lvl w:ilvl="0" w:tplc="C842408A">
      <w:start w:val="1"/>
      <w:numFmt w:val="bullet"/>
      <w:lvlText w:val="-"/>
      <w:lvlJc w:val="left"/>
      <w:pPr>
        <w:ind w:left="720" w:hanging="360"/>
      </w:pPr>
      <w:rPr>
        <w:rFonts w:ascii="Aptos" w:hAnsi="Aptos" w:hint="default"/>
      </w:rPr>
    </w:lvl>
    <w:lvl w:ilvl="1" w:tplc="4810E7BE">
      <w:start w:val="1"/>
      <w:numFmt w:val="bullet"/>
      <w:lvlText w:val=""/>
      <w:lvlJc w:val="left"/>
      <w:pPr>
        <w:ind w:left="720" w:hanging="360"/>
      </w:pPr>
      <w:rPr>
        <w:rFonts w:ascii="Symbol" w:hAnsi="Symbol" w:hint="default"/>
        <w:color w:val="4970B7" w:themeColor="accent3"/>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0CB18A4"/>
    <w:multiLevelType w:val="hybridMultilevel"/>
    <w:tmpl w:val="11FA093C"/>
    <w:lvl w:ilvl="0" w:tplc="A4862BCA">
      <w:start w:val="1"/>
      <w:numFmt w:val="bullet"/>
      <w:lvlText w:val=""/>
      <w:lvlJc w:val="left"/>
      <w:pPr>
        <w:ind w:left="1440" w:hanging="360"/>
      </w:pPr>
      <w:rPr>
        <w:rFonts w:ascii="Symbol" w:hAnsi="Symbol"/>
      </w:rPr>
    </w:lvl>
    <w:lvl w:ilvl="1" w:tplc="44802E38">
      <w:start w:val="1"/>
      <w:numFmt w:val="bullet"/>
      <w:lvlText w:val=""/>
      <w:lvlJc w:val="left"/>
      <w:pPr>
        <w:ind w:left="1440" w:hanging="360"/>
      </w:pPr>
      <w:rPr>
        <w:rFonts w:ascii="Symbol" w:hAnsi="Symbol"/>
      </w:rPr>
    </w:lvl>
    <w:lvl w:ilvl="2" w:tplc="A4BA1424">
      <w:start w:val="1"/>
      <w:numFmt w:val="bullet"/>
      <w:lvlText w:val=""/>
      <w:lvlJc w:val="left"/>
      <w:pPr>
        <w:ind w:left="1440" w:hanging="360"/>
      </w:pPr>
      <w:rPr>
        <w:rFonts w:ascii="Symbol" w:hAnsi="Symbol"/>
      </w:rPr>
    </w:lvl>
    <w:lvl w:ilvl="3" w:tplc="F698CC3C">
      <w:start w:val="1"/>
      <w:numFmt w:val="bullet"/>
      <w:lvlText w:val=""/>
      <w:lvlJc w:val="left"/>
      <w:pPr>
        <w:ind w:left="1440" w:hanging="360"/>
      </w:pPr>
      <w:rPr>
        <w:rFonts w:ascii="Symbol" w:hAnsi="Symbol"/>
      </w:rPr>
    </w:lvl>
    <w:lvl w:ilvl="4" w:tplc="A7560478">
      <w:start w:val="1"/>
      <w:numFmt w:val="bullet"/>
      <w:lvlText w:val=""/>
      <w:lvlJc w:val="left"/>
      <w:pPr>
        <w:ind w:left="1440" w:hanging="360"/>
      </w:pPr>
      <w:rPr>
        <w:rFonts w:ascii="Symbol" w:hAnsi="Symbol"/>
      </w:rPr>
    </w:lvl>
    <w:lvl w:ilvl="5" w:tplc="BF105ACA">
      <w:start w:val="1"/>
      <w:numFmt w:val="bullet"/>
      <w:lvlText w:val=""/>
      <w:lvlJc w:val="left"/>
      <w:pPr>
        <w:ind w:left="1440" w:hanging="360"/>
      </w:pPr>
      <w:rPr>
        <w:rFonts w:ascii="Symbol" w:hAnsi="Symbol"/>
      </w:rPr>
    </w:lvl>
    <w:lvl w:ilvl="6" w:tplc="53044574">
      <w:start w:val="1"/>
      <w:numFmt w:val="bullet"/>
      <w:lvlText w:val=""/>
      <w:lvlJc w:val="left"/>
      <w:pPr>
        <w:ind w:left="1440" w:hanging="360"/>
      </w:pPr>
      <w:rPr>
        <w:rFonts w:ascii="Symbol" w:hAnsi="Symbol"/>
      </w:rPr>
    </w:lvl>
    <w:lvl w:ilvl="7" w:tplc="E530F3A4">
      <w:start w:val="1"/>
      <w:numFmt w:val="bullet"/>
      <w:lvlText w:val=""/>
      <w:lvlJc w:val="left"/>
      <w:pPr>
        <w:ind w:left="1440" w:hanging="360"/>
      </w:pPr>
      <w:rPr>
        <w:rFonts w:ascii="Symbol" w:hAnsi="Symbol"/>
      </w:rPr>
    </w:lvl>
    <w:lvl w:ilvl="8" w:tplc="7A44FE58">
      <w:start w:val="1"/>
      <w:numFmt w:val="bullet"/>
      <w:lvlText w:val=""/>
      <w:lvlJc w:val="left"/>
      <w:pPr>
        <w:ind w:left="1440" w:hanging="360"/>
      </w:pPr>
      <w:rPr>
        <w:rFonts w:ascii="Symbol" w:hAnsi="Symbol"/>
      </w:rPr>
    </w:lvl>
  </w:abstractNum>
  <w:abstractNum w:abstractNumId="93" w15:restartNumberingAfterBreak="0">
    <w:nsid w:val="60ED2266"/>
    <w:multiLevelType w:val="hybridMultilevel"/>
    <w:tmpl w:val="DAF81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1A11FCD"/>
    <w:multiLevelType w:val="hybridMultilevel"/>
    <w:tmpl w:val="87BE067E"/>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622564FF"/>
    <w:multiLevelType w:val="hybridMultilevel"/>
    <w:tmpl w:val="9126F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22A3615"/>
    <w:multiLevelType w:val="multilevel"/>
    <w:tmpl w:val="0388E366"/>
    <w:lvl w:ilvl="0">
      <w:start w:val="1"/>
      <w:numFmt w:val="bullet"/>
      <w:suff w:val="space"/>
      <w:lvlText w:val=""/>
      <w:lvlJc w:val="left"/>
      <w:pPr>
        <w:ind w:left="418" w:hanging="130"/>
      </w:pPr>
      <w:rPr>
        <w:rFonts w:ascii="Symbol" w:hAnsi="Symbol" w:hint="default"/>
        <w:color w:val="FFFFFF" w:themeColor="background2"/>
        <w:sz w:val="16"/>
      </w:rPr>
    </w:lvl>
    <w:lvl w:ilvl="1">
      <w:start w:val="1"/>
      <w:numFmt w:val="bullet"/>
      <w:suff w:val="space"/>
      <w:lvlText w:val=""/>
      <w:lvlJc w:val="left"/>
      <w:pPr>
        <w:ind w:left="706" w:hanging="130"/>
      </w:pPr>
      <w:rPr>
        <w:rFonts w:ascii="Symbol" w:hAnsi="Symbol" w:hint="default"/>
        <w:color w:val="FFFFFF" w:themeColor="background2"/>
        <w:sz w:val="16"/>
      </w:rPr>
    </w:lvl>
    <w:lvl w:ilvl="2">
      <w:start w:val="1"/>
      <w:numFmt w:val="bullet"/>
      <w:suff w:val="space"/>
      <w:lvlText w:val=""/>
      <w:lvlJc w:val="left"/>
      <w:pPr>
        <w:ind w:left="994" w:hanging="130"/>
      </w:pPr>
      <w:rPr>
        <w:rFonts w:ascii="Symbol" w:hAnsi="Symbol" w:hint="default"/>
        <w:color w:val="FFFFFF" w:themeColor="background2"/>
        <w:sz w:val="16"/>
      </w:rPr>
    </w:lvl>
    <w:lvl w:ilvl="3">
      <w:start w:val="1"/>
      <w:numFmt w:val="bullet"/>
      <w:suff w:val="space"/>
      <w:lvlText w:val=""/>
      <w:lvlJc w:val="left"/>
      <w:pPr>
        <w:ind w:left="1282" w:hanging="130"/>
      </w:pPr>
      <w:rPr>
        <w:rFonts w:ascii="Symbol" w:hAnsi="Symbol" w:hint="default"/>
        <w:color w:val="FFFFFF" w:themeColor="background2"/>
        <w:sz w:val="16"/>
      </w:rPr>
    </w:lvl>
    <w:lvl w:ilvl="4">
      <w:start w:val="1"/>
      <w:numFmt w:val="bullet"/>
      <w:suff w:val="space"/>
      <w:lvlText w:val=""/>
      <w:lvlJc w:val="left"/>
      <w:pPr>
        <w:ind w:left="1570" w:hanging="130"/>
      </w:pPr>
      <w:rPr>
        <w:rFonts w:ascii="Symbol" w:hAnsi="Symbol" w:hint="default"/>
        <w:color w:val="FFFFFF" w:themeColor="background2"/>
        <w:sz w:val="16"/>
      </w:rPr>
    </w:lvl>
    <w:lvl w:ilvl="5">
      <w:start w:val="1"/>
      <w:numFmt w:val="bullet"/>
      <w:suff w:val="space"/>
      <w:lvlText w:val=""/>
      <w:lvlJc w:val="left"/>
      <w:pPr>
        <w:ind w:left="1858" w:hanging="130"/>
      </w:pPr>
      <w:rPr>
        <w:rFonts w:ascii="Symbol" w:hAnsi="Symbol" w:hint="default"/>
        <w:color w:val="FFFFFF" w:themeColor="background2"/>
        <w:sz w:val="16"/>
      </w:rPr>
    </w:lvl>
    <w:lvl w:ilvl="6">
      <w:start w:val="1"/>
      <w:numFmt w:val="bullet"/>
      <w:suff w:val="space"/>
      <w:lvlText w:val=""/>
      <w:lvlJc w:val="left"/>
      <w:pPr>
        <w:ind w:left="2146" w:hanging="130"/>
      </w:pPr>
      <w:rPr>
        <w:rFonts w:ascii="Symbol" w:hAnsi="Symbol" w:hint="default"/>
        <w:color w:val="FFFFFF" w:themeColor="background2"/>
        <w:sz w:val="16"/>
      </w:rPr>
    </w:lvl>
    <w:lvl w:ilvl="7">
      <w:start w:val="1"/>
      <w:numFmt w:val="bullet"/>
      <w:suff w:val="space"/>
      <w:lvlText w:val=""/>
      <w:lvlJc w:val="left"/>
      <w:pPr>
        <w:ind w:left="2434" w:hanging="130"/>
      </w:pPr>
      <w:rPr>
        <w:rFonts w:ascii="Symbol" w:hAnsi="Symbol" w:hint="default"/>
        <w:color w:val="FFFFFF" w:themeColor="background2"/>
        <w:sz w:val="16"/>
      </w:rPr>
    </w:lvl>
    <w:lvl w:ilvl="8">
      <w:start w:val="1"/>
      <w:numFmt w:val="bullet"/>
      <w:suff w:val="space"/>
      <w:lvlText w:val=""/>
      <w:lvlJc w:val="left"/>
      <w:pPr>
        <w:ind w:left="2722" w:hanging="130"/>
      </w:pPr>
      <w:rPr>
        <w:rFonts w:ascii="Symbol" w:hAnsi="Symbol" w:hint="default"/>
        <w:color w:val="FFFFFF" w:themeColor="background2"/>
        <w:sz w:val="16"/>
      </w:rPr>
    </w:lvl>
  </w:abstractNum>
  <w:abstractNum w:abstractNumId="97" w15:restartNumberingAfterBreak="0">
    <w:nsid w:val="63F33D77"/>
    <w:multiLevelType w:val="hybridMultilevel"/>
    <w:tmpl w:val="7F7E6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5681CA3"/>
    <w:multiLevelType w:val="hybridMultilevel"/>
    <w:tmpl w:val="85B05898"/>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682C2443"/>
    <w:multiLevelType w:val="hybridMultilevel"/>
    <w:tmpl w:val="BBB47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E063CB"/>
    <w:multiLevelType w:val="hybridMultilevel"/>
    <w:tmpl w:val="FFFFFFFF"/>
    <w:lvl w:ilvl="0" w:tplc="31C25156">
      <w:start w:val="1"/>
      <w:numFmt w:val="bullet"/>
      <w:lvlText w:val=""/>
      <w:lvlJc w:val="left"/>
      <w:pPr>
        <w:ind w:left="720" w:hanging="360"/>
      </w:pPr>
      <w:rPr>
        <w:rFonts w:ascii="Symbol" w:hAnsi="Symbol" w:hint="default"/>
      </w:rPr>
    </w:lvl>
    <w:lvl w:ilvl="1" w:tplc="D29677FC">
      <w:start w:val="1"/>
      <w:numFmt w:val="bullet"/>
      <w:lvlText w:val="o"/>
      <w:lvlJc w:val="left"/>
      <w:pPr>
        <w:ind w:left="1440" w:hanging="360"/>
      </w:pPr>
      <w:rPr>
        <w:rFonts w:ascii="Courier New" w:hAnsi="Courier New" w:hint="default"/>
      </w:rPr>
    </w:lvl>
    <w:lvl w:ilvl="2" w:tplc="7250CD2C">
      <w:start w:val="1"/>
      <w:numFmt w:val="bullet"/>
      <w:lvlText w:val=""/>
      <w:lvlJc w:val="left"/>
      <w:pPr>
        <w:ind w:left="2160" w:hanging="360"/>
      </w:pPr>
      <w:rPr>
        <w:rFonts w:ascii="Wingdings" w:hAnsi="Wingdings" w:hint="default"/>
      </w:rPr>
    </w:lvl>
    <w:lvl w:ilvl="3" w:tplc="93F0E25C">
      <w:start w:val="1"/>
      <w:numFmt w:val="bullet"/>
      <w:lvlText w:val=""/>
      <w:lvlJc w:val="left"/>
      <w:pPr>
        <w:ind w:left="2880" w:hanging="360"/>
      </w:pPr>
      <w:rPr>
        <w:rFonts w:ascii="Symbol" w:hAnsi="Symbol" w:hint="default"/>
      </w:rPr>
    </w:lvl>
    <w:lvl w:ilvl="4" w:tplc="9F0E5460">
      <w:start w:val="1"/>
      <w:numFmt w:val="bullet"/>
      <w:lvlText w:val="o"/>
      <w:lvlJc w:val="left"/>
      <w:pPr>
        <w:ind w:left="3600" w:hanging="360"/>
      </w:pPr>
      <w:rPr>
        <w:rFonts w:ascii="Courier New" w:hAnsi="Courier New" w:hint="default"/>
      </w:rPr>
    </w:lvl>
    <w:lvl w:ilvl="5" w:tplc="4FC80ED6">
      <w:start w:val="1"/>
      <w:numFmt w:val="bullet"/>
      <w:lvlText w:val=""/>
      <w:lvlJc w:val="left"/>
      <w:pPr>
        <w:ind w:left="4320" w:hanging="360"/>
      </w:pPr>
      <w:rPr>
        <w:rFonts w:ascii="Wingdings" w:hAnsi="Wingdings" w:hint="default"/>
      </w:rPr>
    </w:lvl>
    <w:lvl w:ilvl="6" w:tplc="9D3A256A">
      <w:start w:val="1"/>
      <w:numFmt w:val="bullet"/>
      <w:lvlText w:val=""/>
      <w:lvlJc w:val="left"/>
      <w:pPr>
        <w:ind w:left="5040" w:hanging="360"/>
      </w:pPr>
      <w:rPr>
        <w:rFonts w:ascii="Symbol" w:hAnsi="Symbol" w:hint="default"/>
      </w:rPr>
    </w:lvl>
    <w:lvl w:ilvl="7" w:tplc="B30A1E60">
      <w:start w:val="1"/>
      <w:numFmt w:val="bullet"/>
      <w:lvlText w:val="o"/>
      <w:lvlJc w:val="left"/>
      <w:pPr>
        <w:ind w:left="5760" w:hanging="360"/>
      </w:pPr>
      <w:rPr>
        <w:rFonts w:ascii="Courier New" w:hAnsi="Courier New" w:hint="default"/>
      </w:rPr>
    </w:lvl>
    <w:lvl w:ilvl="8" w:tplc="98EAF53C">
      <w:start w:val="1"/>
      <w:numFmt w:val="bullet"/>
      <w:lvlText w:val=""/>
      <w:lvlJc w:val="left"/>
      <w:pPr>
        <w:ind w:left="6480" w:hanging="360"/>
      </w:pPr>
      <w:rPr>
        <w:rFonts w:ascii="Wingdings" w:hAnsi="Wingdings" w:hint="default"/>
      </w:rPr>
    </w:lvl>
  </w:abstractNum>
  <w:abstractNum w:abstractNumId="101" w15:restartNumberingAfterBreak="0">
    <w:nsid w:val="6C7047BE"/>
    <w:multiLevelType w:val="hybridMultilevel"/>
    <w:tmpl w:val="173C9D62"/>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71C3158A"/>
    <w:multiLevelType w:val="hybridMultilevel"/>
    <w:tmpl w:val="14FA1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567A53"/>
    <w:multiLevelType w:val="hybridMultilevel"/>
    <w:tmpl w:val="FFFFFFFF"/>
    <w:lvl w:ilvl="0" w:tplc="915E29A6">
      <w:start w:val="1"/>
      <w:numFmt w:val="bullet"/>
      <w:lvlText w:val=""/>
      <w:lvlJc w:val="left"/>
      <w:pPr>
        <w:ind w:left="720" w:hanging="360"/>
      </w:pPr>
      <w:rPr>
        <w:rFonts w:ascii="Symbol" w:hAnsi="Symbol" w:hint="default"/>
      </w:rPr>
    </w:lvl>
    <w:lvl w:ilvl="1" w:tplc="233AE536">
      <w:start w:val="1"/>
      <w:numFmt w:val="bullet"/>
      <w:lvlText w:val="o"/>
      <w:lvlJc w:val="left"/>
      <w:pPr>
        <w:ind w:left="1440" w:hanging="360"/>
      </w:pPr>
      <w:rPr>
        <w:rFonts w:ascii="Courier New" w:hAnsi="Courier New" w:hint="default"/>
      </w:rPr>
    </w:lvl>
    <w:lvl w:ilvl="2" w:tplc="CACA2488">
      <w:start w:val="1"/>
      <w:numFmt w:val="bullet"/>
      <w:lvlText w:val=""/>
      <w:lvlJc w:val="left"/>
      <w:pPr>
        <w:ind w:left="2160" w:hanging="360"/>
      </w:pPr>
      <w:rPr>
        <w:rFonts w:ascii="Wingdings" w:hAnsi="Wingdings" w:hint="default"/>
      </w:rPr>
    </w:lvl>
    <w:lvl w:ilvl="3" w:tplc="01B84A28">
      <w:start w:val="1"/>
      <w:numFmt w:val="bullet"/>
      <w:lvlText w:val=""/>
      <w:lvlJc w:val="left"/>
      <w:pPr>
        <w:ind w:left="2880" w:hanging="360"/>
      </w:pPr>
      <w:rPr>
        <w:rFonts w:ascii="Symbol" w:hAnsi="Symbol" w:hint="default"/>
      </w:rPr>
    </w:lvl>
    <w:lvl w:ilvl="4" w:tplc="6854BDCA">
      <w:start w:val="1"/>
      <w:numFmt w:val="bullet"/>
      <w:lvlText w:val="o"/>
      <w:lvlJc w:val="left"/>
      <w:pPr>
        <w:ind w:left="3600" w:hanging="360"/>
      </w:pPr>
      <w:rPr>
        <w:rFonts w:ascii="Courier New" w:hAnsi="Courier New" w:hint="default"/>
      </w:rPr>
    </w:lvl>
    <w:lvl w:ilvl="5" w:tplc="8DDA6B98">
      <w:start w:val="1"/>
      <w:numFmt w:val="bullet"/>
      <w:lvlText w:val=""/>
      <w:lvlJc w:val="left"/>
      <w:pPr>
        <w:ind w:left="4320" w:hanging="360"/>
      </w:pPr>
      <w:rPr>
        <w:rFonts w:ascii="Wingdings" w:hAnsi="Wingdings" w:hint="default"/>
      </w:rPr>
    </w:lvl>
    <w:lvl w:ilvl="6" w:tplc="00924E00">
      <w:start w:val="1"/>
      <w:numFmt w:val="bullet"/>
      <w:lvlText w:val=""/>
      <w:lvlJc w:val="left"/>
      <w:pPr>
        <w:ind w:left="5040" w:hanging="360"/>
      </w:pPr>
      <w:rPr>
        <w:rFonts w:ascii="Symbol" w:hAnsi="Symbol" w:hint="default"/>
      </w:rPr>
    </w:lvl>
    <w:lvl w:ilvl="7" w:tplc="B3427AAA">
      <w:start w:val="1"/>
      <w:numFmt w:val="bullet"/>
      <w:lvlText w:val="o"/>
      <w:lvlJc w:val="left"/>
      <w:pPr>
        <w:ind w:left="5760" w:hanging="360"/>
      </w:pPr>
      <w:rPr>
        <w:rFonts w:ascii="Courier New" w:hAnsi="Courier New" w:hint="default"/>
      </w:rPr>
    </w:lvl>
    <w:lvl w:ilvl="8" w:tplc="7242E1BE">
      <w:start w:val="1"/>
      <w:numFmt w:val="bullet"/>
      <w:lvlText w:val=""/>
      <w:lvlJc w:val="left"/>
      <w:pPr>
        <w:ind w:left="6480" w:hanging="360"/>
      </w:pPr>
      <w:rPr>
        <w:rFonts w:ascii="Wingdings" w:hAnsi="Wingdings" w:hint="default"/>
      </w:rPr>
    </w:lvl>
  </w:abstractNum>
  <w:abstractNum w:abstractNumId="104" w15:restartNumberingAfterBreak="0">
    <w:nsid w:val="79161673"/>
    <w:multiLevelType w:val="hybridMultilevel"/>
    <w:tmpl w:val="02888B9A"/>
    <w:lvl w:ilvl="0" w:tplc="750CA704">
      <w:start w:val="1"/>
      <w:numFmt w:val="bullet"/>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7AE030B5"/>
    <w:multiLevelType w:val="hybridMultilevel"/>
    <w:tmpl w:val="FAC27A7E"/>
    <w:lvl w:ilvl="0" w:tplc="C842408A">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6" w15:restartNumberingAfterBreak="0">
    <w:nsid w:val="7BEA1907"/>
    <w:multiLevelType w:val="hybridMultilevel"/>
    <w:tmpl w:val="C9BA825A"/>
    <w:lvl w:ilvl="0" w:tplc="C842408A">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E722928"/>
    <w:multiLevelType w:val="hybridMultilevel"/>
    <w:tmpl w:val="4F829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FAC4559"/>
    <w:multiLevelType w:val="hybridMultilevel"/>
    <w:tmpl w:val="71DA106E"/>
    <w:lvl w:ilvl="0" w:tplc="3C24B408">
      <w:start w:val="2"/>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65175258">
    <w:abstractNumId w:val="77"/>
  </w:num>
  <w:num w:numId="2" w16cid:durableId="628516251">
    <w:abstractNumId w:val="58"/>
  </w:num>
  <w:num w:numId="3" w16cid:durableId="1915621311">
    <w:abstractNumId w:val="96"/>
  </w:num>
  <w:num w:numId="4" w16cid:durableId="1905604347">
    <w:abstractNumId w:val="59"/>
  </w:num>
  <w:num w:numId="5" w16cid:durableId="1152870635">
    <w:abstractNumId w:val="85"/>
  </w:num>
  <w:num w:numId="6" w16cid:durableId="1345091887">
    <w:abstractNumId w:val="47"/>
  </w:num>
  <w:num w:numId="7" w16cid:durableId="1054088549">
    <w:abstractNumId w:val="87"/>
  </w:num>
  <w:num w:numId="8" w16cid:durableId="1149245698">
    <w:abstractNumId w:val="34"/>
  </w:num>
  <w:num w:numId="9" w16cid:durableId="1459300356">
    <w:abstractNumId w:val="83"/>
  </w:num>
  <w:num w:numId="10" w16cid:durableId="1720857504">
    <w:abstractNumId w:val="61"/>
  </w:num>
  <w:num w:numId="11" w16cid:durableId="684399929">
    <w:abstractNumId w:val="53"/>
  </w:num>
  <w:num w:numId="12" w16cid:durableId="1121921590">
    <w:abstractNumId w:val="33"/>
  </w:num>
  <w:num w:numId="13" w16cid:durableId="1057514616">
    <w:abstractNumId w:val="30"/>
  </w:num>
  <w:num w:numId="14" w16cid:durableId="2003921951">
    <w:abstractNumId w:val="45"/>
  </w:num>
  <w:num w:numId="15" w16cid:durableId="1838226992">
    <w:abstractNumId w:val="86"/>
  </w:num>
  <w:num w:numId="16" w16cid:durableId="358551223">
    <w:abstractNumId w:val="68"/>
  </w:num>
  <w:num w:numId="17" w16cid:durableId="1549800782">
    <w:abstractNumId w:val="29"/>
  </w:num>
  <w:num w:numId="18" w16cid:durableId="1352611563">
    <w:abstractNumId w:val="12"/>
  </w:num>
  <w:num w:numId="19" w16cid:durableId="296881361">
    <w:abstractNumId w:val="69"/>
  </w:num>
  <w:num w:numId="20" w16cid:durableId="1262907014">
    <w:abstractNumId w:val="9"/>
  </w:num>
  <w:num w:numId="21" w16cid:durableId="1898081700">
    <w:abstractNumId w:val="7"/>
  </w:num>
  <w:num w:numId="22" w16cid:durableId="1330908206">
    <w:abstractNumId w:val="39"/>
  </w:num>
  <w:num w:numId="23" w16cid:durableId="1074426447">
    <w:abstractNumId w:val="42"/>
  </w:num>
  <w:num w:numId="24" w16cid:durableId="1540512346">
    <w:abstractNumId w:val="52"/>
  </w:num>
  <w:num w:numId="25" w16cid:durableId="185096508">
    <w:abstractNumId w:val="27"/>
  </w:num>
  <w:num w:numId="26" w16cid:durableId="1896159160">
    <w:abstractNumId w:val="78"/>
  </w:num>
  <w:num w:numId="27" w16cid:durableId="1911619827">
    <w:abstractNumId w:val="100"/>
  </w:num>
  <w:num w:numId="28" w16cid:durableId="300421878">
    <w:abstractNumId w:val="80"/>
  </w:num>
  <w:num w:numId="29" w16cid:durableId="37628743">
    <w:abstractNumId w:val="48"/>
  </w:num>
  <w:num w:numId="30" w16cid:durableId="540754548">
    <w:abstractNumId w:val="18"/>
  </w:num>
  <w:num w:numId="31" w16cid:durableId="638533942">
    <w:abstractNumId w:val="73"/>
  </w:num>
  <w:num w:numId="32" w16cid:durableId="881022411">
    <w:abstractNumId w:val="50"/>
  </w:num>
  <w:num w:numId="33" w16cid:durableId="1257251744">
    <w:abstractNumId w:val="102"/>
  </w:num>
  <w:num w:numId="34" w16cid:durableId="1012269749">
    <w:abstractNumId w:val="26"/>
  </w:num>
  <w:num w:numId="35" w16cid:durableId="1636719591">
    <w:abstractNumId w:val="97"/>
  </w:num>
  <w:num w:numId="36" w16cid:durableId="440150769">
    <w:abstractNumId w:val="41"/>
  </w:num>
  <w:num w:numId="37" w16cid:durableId="555438119">
    <w:abstractNumId w:val="60"/>
  </w:num>
  <w:num w:numId="38" w16cid:durableId="33581568">
    <w:abstractNumId w:val="66"/>
  </w:num>
  <w:num w:numId="39" w16cid:durableId="1912615674">
    <w:abstractNumId w:val="93"/>
  </w:num>
  <w:num w:numId="40" w16cid:durableId="976379713">
    <w:abstractNumId w:val="22"/>
  </w:num>
  <w:num w:numId="41" w16cid:durableId="67970052">
    <w:abstractNumId w:val="37"/>
  </w:num>
  <w:num w:numId="42" w16cid:durableId="1555508855">
    <w:abstractNumId w:val="103"/>
  </w:num>
  <w:num w:numId="43" w16cid:durableId="2129427235">
    <w:abstractNumId w:val="71"/>
  </w:num>
  <w:num w:numId="44" w16cid:durableId="1471821176">
    <w:abstractNumId w:val="105"/>
  </w:num>
  <w:num w:numId="45" w16cid:durableId="327101950">
    <w:abstractNumId w:val="23"/>
  </w:num>
  <w:num w:numId="46" w16cid:durableId="1380278181">
    <w:abstractNumId w:val="21"/>
  </w:num>
  <w:num w:numId="47" w16cid:durableId="82386167">
    <w:abstractNumId w:val="92"/>
  </w:num>
  <w:num w:numId="48" w16cid:durableId="815613688">
    <w:abstractNumId w:val="62"/>
  </w:num>
  <w:num w:numId="49" w16cid:durableId="1092510958">
    <w:abstractNumId w:val="67"/>
  </w:num>
  <w:num w:numId="50" w16cid:durableId="299923568">
    <w:abstractNumId w:val="28"/>
  </w:num>
  <w:num w:numId="51" w16cid:durableId="650140815">
    <w:abstractNumId w:val="55"/>
  </w:num>
  <w:num w:numId="52" w16cid:durableId="1505390840">
    <w:abstractNumId w:val="19"/>
  </w:num>
  <w:num w:numId="53" w16cid:durableId="1288662128">
    <w:abstractNumId w:val="79"/>
  </w:num>
  <w:num w:numId="54" w16cid:durableId="1070883389">
    <w:abstractNumId w:val="108"/>
  </w:num>
  <w:num w:numId="55" w16cid:durableId="188299733">
    <w:abstractNumId w:val="75"/>
  </w:num>
  <w:num w:numId="56" w16cid:durableId="1619070577">
    <w:abstractNumId w:val="72"/>
  </w:num>
  <w:num w:numId="57" w16cid:durableId="349183793">
    <w:abstractNumId w:val="95"/>
  </w:num>
  <w:num w:numId="58" w16cid:durableId="569196215">
    <w:abstractNumId w:val="54"/>
  </w:num>
  <w:num w:numId="59" w16cid:durableId="956373883">
    <w:abstractNumId w:val="107"/>
  </w:num>
  <w:num w:numId="60" w16cid:durableId="1892184137">
    <w:abstractNumId w:val="90"/>
  </w:num>
  <w:num w:numId="61" w16cid:durableId="1545170277">
    <w:abstractNumId w:val="24"/>
  </w:num>
  <w:num w:numId="62" w16cid:durableId="421027203">
    <w:abstractNumId w:val="44"/>
  </w:num>
  <w:num w:numId="63" w16cid:durableId="1410544603">
    <w:abstractNumId w:val="20"/>
  </w:num>
  <w:num w:numId="64" w16cid:durableId="2028871672">
    <w:abstractNumId w:val="17"/>
  </w:num>
  <w:num w:numId="65" w16cid:durableId="1120225707">
    <w:abstractNumId w:val="13"/>
  </w:num>
  <w:num w:numId="66" w16cid:durableId="1971742015">
    <w:abstractNumId w:val="74"/>
  </w:num>
  <w:num w:numId="67" w16cid:durableId="1579095336">
    <w:abstractNumId w:val="98"/>
  </w:num>
  <w:num w:numId="68" w16cid:durableId="103230877">
    <w:abstractNumId w:val="88"/>
  </w:num>
  <w:num w:numId="69" w16cid:durableId="1603613801">
    <w:abstractNumId w:val="36"/>
  </w:num>
  <w:num w:numId="70" w16cid:durableId="1832063492">
    <w:abstractNumId w:val="91"/>
  </w:num>
  <w:num w:numId="71" w16cid:durableId="960654006">
    <w:abstractNumId w:val="49"/>
  </w:num>
  <w:num w:numId="72" w16cid:durableId="350306125">
    <w:abstractNumId w:val="46"/>
  </w:num>
  <w:num w:numId="73" w16cid:durableId="1462382697">
    <w:abstractNumId w:val="106"/>
  </w:num>
  <w:num w:numId="74" w16cid:durableId="1805804504">
    <w:abstractNumId w:val="82"/>
  </w:num>
  <w:num w:numId="75" w16cid:durableId="322048789">
    <w:abstractNumId w:val="81"/>
  </w:num>
  <w:num w:numId="76" w16cid:durableId="1011758656">
    <w:abstractNumId w:val="99"/>
  </w:num>
  <w:num w:numId="77" w16cid:durableId="1064838343">
    <w:abstractNumId w:val="32"/>
  </w:num>
  <w:num w:numId="78" w16cid:durableId="1495218602">
    <w:abstractNumId w:val="64"/>
  </w:num>
  <w:num w:numId="79" w16cid:durableId="617490931">
    <w:abstractNumId w:val="25"/>
  </w:num>
  <w:num w:numId="80" w16cid:durableId="1139306192">
    <w:abstractNumId w:val="76"/>
  </w:num>
  <w:num w:numId="81" w16cid:durableId="1645810187">
    <w:abstractNumId w:val="89"/>
  </w:num>
  <w:num w:numId="82" w16cid:durableId="698553483">
    <w:abstractNumId w:val="94"/>
  </w:num>
  <w:num w:numId="83" w16cid:durableId="157694225">
    <w:abstractNumId w:val="101"/>
  </w:num>
  <w:num w:numId="84" w16cid:durableId="871529898">
    <w:abstractNumId w:val="56"/>
  </w:num>
  <w:num w:numId="85" w16cid:durableId="1584606147">
    <w:abstractNumId w:val="104"/>
  </w:num>
  <w:num w:numId="86" w16cid:durableId="190454429">
    <w:abstractNumId w:val="16"/>
  </w:num>
  <w:num w:numId="87" w16cid:durableId="345667906">
    <w:abstractNumId w:val="35"/>
  </w:num>
  <w:num w:numId="88" w16cid:durableId="523440874">
    <w:abstractNumId w:val="10"/>
  </w:num>
  <w:num w:numId="89" w16cid:durableId="1256132335">
    <w:abstractNumId w:val="43"/>
  </w:num>
  <w:num w:numId="90" w16cid:durableId="2060547454">
    <w:abstractNumId w:val="65"/>
  </w:num>
  <w:num w:numId="91" w16cid:durableId="1256203920">
    <w:abstractNumId w:val="31"/>
  </w:num>
  <w:num w:numId="92" w16cid:durableId="1073892489">
    <w:abstractNumId w:val="11"/>
  </w:num>
  <w:num w:numId="93" w16cid:durableId="1056851568">
    <w:abstractNumId w:val="51"/>
  </w:num>
  <w:num w:numId="94" w16cid:durableId="2095587945">
    <w:abstractNumId w:val="57"/>
  </w:num>
  <w:num w:numId="95" w16cid:durableId="1892106424">
    <w:abstractNumId w:val="70"/>
  </w:num>
  <w:num w:numId="96" w16cid:durableId="1843743109">
    <w:abstractNumId w:val="40"/>
  </w:num>
  <w:num w:numId="97" w16cid:durableId="846360262">
    <w:abstractNumId w:val="15"/>
  </w:num>
  <w:num w:numId="98" w16cid:durableId="1442458592">
    <w:abstractNumId w:val="84"/>
  </w:num>
  <w:num w:numId="99" w16cid:durableId="1384986131">
    <w:abstractNumId w:val="14"/>
  </w:num>
  <w:num w:numId="100" w16cid:durableId="226065779">
    <w:abstractNumId w:val="63"/>
  </w:num>
  <w:num w:numId="101" w16cid:durableId="1698122480">
    <w:abstractNumId w:val="38"/>
  </w:num>
  <w:num w:numId="102" w16cid:durableId="140511122">
    <w:abstractNumId w:val="6"/>
  </w:num>
  <w:num w:numId="103" w16cid:durableId="764811412">
    <w:abstractNumId w:val="5"/>
  </w:num>
  <w:num w:numId="104" w16cid:durableId="893468322">
    <w:abstractNumId w:val="4"/>
  </w:num>
  <w:num w:numId="105" w16cid:durableId="1454137208">
    <w:abstractNumId w:val="8"/>
  </w:num>
  <w:num w:numId="106" w16cid:durableId="140005605">
    <w:abstractNumId w:val="3"/>
  </w:num>
  <w:num w:numId="107" w16cid:durableId="510221975">
    <w:abstractNumId w:val="2"/>
  </w:num>
  <w:num w:numId="108" w16cid:durableId="959074101">
    <w:abstractNumId w:val="1"/>
  </w:num>
  <w:num w:numId="109" w16cid:durableId="1290478275">
    <w:abstractNumId w:val="0"/>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2B8"/>
    <w:rsid w:val="00000517"/>
    <w:rsid w:val="00002984"/>
    <w:rsid w:val="00002A27"/>
    <w:rsid w:val="00003258"/>
    <w:rsid w:val="00003DAA"/>
    <w:rsid w:val="00004DC1"/>
    <w:rsid w:val="000052AC"/>
    <w:rsid w:val="00006D54"/>
    <w:rsid w:val="0000797F"/>
    <w:rsid w:val="00010404"/>
    <w:rsid w:val="0001123A"/>
    <w:rsid w:val="00012A37"/>
    <w:rsid w:val="00012C1E"/>
    <w:rsid w:val="0001314B"/>
    <w:rsid w:val="0001374C"/>
    <w:rsid w:val="00014250"/>
    <w:rsid w:val="0001434A"/>
    <w:rsid w:val="00016159"/>
    <w:rsid w:val="0001669E"/>
    <w:rsid w:val="00016995"/>
    <w:rsid w:val="00016ECA"/>
    <w:rsid w:val="000209FC"/>
    <w:rsid w:val="000213A7"/>
    <w:rsid w:val="00022025"/>
    <w:rsid w:val="00022261"/>
    <w:rsid w:val="0002300A"/>
    <w:rsid w:val="00024708"/>
    <w:rsid w:val="00025874"/>
    <w:rsid w:val="00026B6D"/>
    <w:rsid w:val="000279BE"/>
    <w:rsid w:val="00027ACE"/>
    <w:rsid w:val="00027FFE"/>
    <w:rsid w:val="000308C0"/>
    <w:rsid w:val="000320C6"/>
    <w:rsid w:val="0003276C"/>
    <w:rsid w:val="00033562"/>
    <w:rsid w:val="000343D3"/>
    <w:rsid w:val="00034766"/>
    <w:rsid w:val="00034798"/>
    <w:rsid w:val="0003597A"/>
    <w:rsid w:val="00035AC1"/>
    <w:rsid w:val="00035B63"/>
    <w:rsid w:val="000363B8"/>
    <w:rsid w:val="000365F1"/>
    <w:rsid w:val="00040165"/>
    <w:rsid w:val="00041434"/>
    <w:rsid w:val="00041C40"/>
    <w:rsid w:val="00041D35"/>
    <w:rsid w:val="00041FCC"/>
    <w:rsid w:val="00042597"/>
    <w:rsid w:val="00042A4E"/>
    <w:rsid w:val="000430DB"/>
    <w:rsid w:val="0004360F"/>
    <w:rsid w:val="00044037"/>
    <w:rsid w:val="00044CA4"/>
    <w:rsid w:val="00045134"/>
    <w:rsid w:val="00045673"/>
    <w:rsid w:val="00045B64"/>
    <w:rsid w:val="00045C74"/>
    <w:rsid w:val="000464FB"/>
    <w:rsid w:val="000466A8"/>
    <w:rsid w:val="000471D7"/>
    <w:rsid w:val="00047240"/>
    <w:rsid w:val="0004733F"/>
    <w:rsid w:val="00047ABF"/>
    <w:rsid w:val="00047FAD"/>
    <w:rsid w:val="0005074B"/>
    <w:rsid w:val="000507BF"/>
    <w:rsid w:val="000507C3"/>
    <w:rsid w:val="000510B8"/>
    <w:rsid w:val="00051E34"/>
    <w:rsid w:val="000520FD"/>
    <w:rsid w:val="000530C1"/>
    <w:rsid w:val="000532BB"/>
    <w:rsid w:val="00053D81"/>
    <w:rsid w:val="00054887"/>
    <w:rsid w:val="0005514F"/>
    <w:rsid w:val="00055458"/>
    <w:rsid w:val="00055BB2"/>
    <w:rsid w:val="0005610E"/>
    <w:rsid w:val="0005669E"/>
    <w:rsid w:val="000571FF"/>
    <w:rsid w:val="00057572"/>
    <w:rsid w:val="00061F60"/>
    <w:rsid w:val="00062476"/>
    <w:rsid w:val="00062843"/>
    <w:rsid w:val="00062FC3"/>
    <w:rsid w:val="0006309C"/>
    <w:rsid w:val="000633B1"/>
    <w:rsid w:val="00063807"/>
    <w:rsid w:val="000639A4"/>
    <w:rsid w:val="00064971"/>
    <w:rsid w:val="00064CBB"/>
    <w:rsid w:val="00065564"/>
    <w:rsid w:val="000655AF"/>
    <w:rsid w:val="00065B82"/>
    <w:rsid w:val="00066E4C"/>
    <w:rsid w:val="0006709F"/>
    <w:rsid w:val="00067AC8"/>
    <w:rsid w:val="00071513"/>
    <w:rsid w:val="000716AE"/>
    <w:rsid w:val="0007188E"/>
    <w:rsid w:val="000718B3"/>
    <w:rsid w:val="000727D9"/>
    <w:rsid w:val="0007287D"/>
    <w:rsid w:val="000730BF"/>
    <w:rsid w:val="0007359E"/>
    <w:rsid w:val="00073E0E"/>
    <w:rsid w:val="000749A9"/>
    <w:rsid w:val="00075660"/>
    <w:rsid w:val="00075AC1"/>
    <w:rsid w:val="00076597"/>
    <w:rsid w:val="000765EF"/>
    <w:rsid w:val="0007673C"/>
    <w:rsid w:val="00077034"/>
    <w:rsid w:val="0007737E"/>
    <w:rsid w:val="000774B8"/>
    <w:rsid w:val="00080310"/>
    <w:rsid w:val="00080F5D"/>
    <w:rsid w:val="00081CBA"/>
    <w:rsid w:val="00081EB5"/>
    <w:rsid w:val="00081EBF"/>
    <w:rsid w:val="0008290B"/>
    <w:rsid w:val="0008362A"/>
    <w:rsid w:val="00085490"/>
    <w:rsid w:val="0008590F"/>
    <w:rsid w:val="00085D6F"/>
    <w:rsid w:val="00086772"/>
    <w:rsid w:val="00086BDA"/>
    <w:rsid w:val="00087E19"/>
    <w:rsid w:val="00090127"/>
    <w:rsid w:val="000914D9"/>
    <w:rsid w:val="00091920"/>
    <w:rsid w:val="00093DB8"/>
    <w:rsid w:val="000946D1"/>
    <w:rsid w:val="00094EC8"/>
    <w:rsid w:val="000956FA"/>
    <w:rsid w:val="000961E3"/>
    <w:rsid w:val="0009687B"/>
    <w:rsid w:val="00096EAF"/>
    <w:rsid w:val="000A0CCF"/>
    <w:rsid w:val="000A1703"/>
    <w:rsid w:val="000A1A36"/>
    <w:rsid w:val="000A2092"/>
    <w:rsid w:val="000A3254"/>
    <w:rsid w:val="000A3865"/>
    <w:rsid w:val="000A3AE9"/>
    <w:rsid w:val="000A3FBE"/>
    <w:rsid w:val="000A41F1"/>
    <w:rsid w:val="000A4A25"/>
    <w:rsid w:val="000A4B53"/>
    <w:rsid w:val="000A4BFA"/>
    <w:rsid w:val="000A54C1"/>
    <w:rsid w:val="000A58E6"/>
    <w:rsid w:val="000A5BA8"/>
    <w:rsid w:val="000A6EF0"/>
    <w:rsid w:val="000A72C3"/>
    <w:rsid w:val="000A73A3"/>
    <w:rsid w:val="000A7407"/>
    <w:rsid w:val="000A748B"/>
    <w:rsid w:val="000B05A1"/>
    <w:rsid w:val="000B09CC"/>
    <w:rsid w:val="000B12DC"/>
    <w:rsid w:val="000B2501"/>
    <w:rsid w:val="000B2C07"/>
    <w:rsid w:val="000B4E7A"/>
    <w:rsid w:val="000B51D9"/>
    <w:rsid w:val="000B54BB"/>
    <w:rsid w:val="000B795F"/>
    <w:rsid w:val="000C038E"/>
    <w:rsid w:val="000C05F6"/>
    <w:rsid w:val="000C0863"/>
    <w:rsid w:val="000C0D6E"/>
    <w:rsid w:val="000C3814"/>
    <w:rsid w:val="000C3E45"/>
    <w:rsid w:val="000C4174"/>
    <w:rsid w:val="000C4233"/>
    <w:rsid w:val="000C5D06"/>
    <w:rsid w:val="000C6688"/>
    <w:rsid w:val="000C7CE8"/>
    <w:rsid w:val="000D047B"/>
    <w:rsid w:val="000D0818"/>
    <w:rsid w:val="000D0F7E"/>
    <w:rsid w:val="000D1956"/>
    <w:rsid w:val="000D1E0C"/>
    <w:rsid w:val="000D2324"/>
    <w:rsid w:val="000D3292"/>
    <w:rsid w:val="000D4A55"/>
    <w:rsid w:val="000D4B1F"/>
    <w:rsid w:val="000D4DAE"/>
    <w:rsid w:val="000D5B3A"/>
    <w:rsid w:val="000D6400"/>
    <w:rsid w:val="000D6F33"/>
    <w:rsid w:val="000D71BA"/>
    <w:rsid w:val="000D75F3"/>
    <w:rsid w:val="000D7989"/>
    <w:rsid w:val="000E0A21"/>
    <w:rsid w:val="000E11D1"/>
    <w:rsid w:val="000E1543"/>
    <w:rsid w:val="000E1B91"/>
    <w:rsid w:val="000E2F0F"/>
    <w:rsid w:val="000E2F73"/>
    <w:rsid w:val="000E34B4"/>
    <w:rsid w:val="000E3A72"/>
    <w:rsid w:val="000E3F61"/>
    <w:rsid w:val="000E4204"/>
    <w:rsid w:val="000E4495"/>
    <w:rsid w:val="000E4871"/>
    <w:rsid w:val="000E49FF"/>
    <w:rsid w:val="000E4D1E"/>
    <w:rsid w:val="000E5BD6"/>
    <w:rsid w:val="000E5E70"/>
    <w:rsid w:val="000E64F6"/>
    <w:rsid w:val="000E6F2C"/>
    <w:rsid w:val="000E7038"/>
    <w:rsid w:val="000E72D9"/>
    <w:rsid w:val="000E755E"/>
    <w:rsid w:val="000F113B"/>
    <w:rsid w:val="000F1483"/>
    <w:rsid w:val="000F26BA"/>
    <w:rsid w:val="000F304B"/>
    <w:rsid w:val="000F5002"/>
    <w:rsid w:val="000F5A80"/>
    <w:rsid w:val="000F6C01"/>
    <w:rsid w:val="000F6C3F"/>
    <w:rsid w:val="000F6E9C"/>
    <w:rsid w:val="000F7080"/>
    <w:rsid w:val="0010073D"/>
    <w:rsid w:val="00100FE1"/>
    <w:rsid w:val="00103946"/>
    <w:rsid w:val="00103B09"/>
    <w:rsid w:val="00104078"/>
    <w:rsid w:val="00104A9B"/>
    <w:rsid w:val="00105389"/>
    <w:rsid w:val="00105AE9"/>
    <w:rsid w:val="00106950"/>
    <w:rsid w:val="00106992"/>
    <w:rsid w:val="001069A9"/>
    <w:rsid w:val="00107977"/>
    <w:rsid w:val="001079F3"/>
    <w:rsid w:val="00107B04"/>
    <w:rsid w:val="00110197"/>
    <w:rsid w:val="00111272"/>
    <w:rsid w:val="001116CD"/>
    <w:rsid w:val="00113409"/>
    <w:rsid w:val="00114274"/>
    <w:rsid w:val="00114333"/>
    <w:rsid w:val="00114744"/>
    <w:rsid w:val="00114F14"/>
    <w:rsid w:val="00116683"/>
    <w:rsid w:val="001218B5"/>
    <w:rsid w:val="0012298F"/>
    <w:rsid w:val="00122AE9"/>
    <w:rsid w:val="00122C16"/>
    <w:rsid w:val="00122F91"/>
    <w:rsid w:val="00123848"/>
    <w:rsid w:val="00123A4A"/>
    <w:rsid w:val="00123ECD"/>
    <w:rsid w:val="0012484F"/>
    <w:rsid w:val="00125809"/>
    <w:rsid w:val="00130355"/>
    <w:rsid w:val="00130AB2"/>
    <w:rsid w:val="00130D56"/>
    <w:rsid w:val="00131CA3"/>
    <w:rsid w:val="00133258"/>
    <w:rsid w:val="0013364D"/>
    <w:rsid w:val="0013478D"/>
    <w:rsid w:val="00135F5C"/>
    <w:rsid w:val="001363A8"/>
    <w:rsid w:val="00136C60"/>
    <w:rsid w:val="00137218"/>
    <w:rsid w:val="00137FD7"/>
    <w:rsid w:val="00140296"/>
    <w:rsid w:val="0014080C"/>
    <w:rsid w:val="00140ADD"/>
    <w:rsid w:val="00140F04"/>
    <w:rsid w:val="00141F5F"/>
    <w:rsid w:val="00142219"/>
    <w:rsid w:val="00142750"/>
    <w:rsid w:val="00143312"/>
    <w:rsid w:val="0014346A"/>
    <w:rsid w:val="00144519"/>
    <w:rsid w:val="00144CB5"/>
    <w:rsid w:val="0014509C"/>
    <w:rsid w:val="00145A5F"/>
    <w:rsid w:val="00146BE0"/>
    <w:rsid w:val="00146D4C"/>
    <w:rsid w:val="00147BC4"/>
    <w:rsid w:val="0015192D"/>
    <w:rsid w:val="00151B57"/>
    <w:rsid w:val="00151F3B"/>
    <w:rsid w:val="00151FD2"/>
    <w:rsid w:val="00152748"/>
    <w:rsid w:val="00152D1C"/>
    <w:rsid w:val="001552D0"/>
    <w:rsid w:val="00156097"/>
    <w:rsid w:val="001564AD"/>
    <w:rsid w:val="001569E9"/>
    <w:rsid w:val="00156C65"/>
    <w:rsid w:val="00157713"/>
    <w:rsid w:val="00160BBF"/>
    <w:rsid w:val="001614F8"/>
    <w:rsid w:val="00161578"/>
    <w:rsid w:val="00161C52"/>
    <w:rsid w:val="0016288C"/>
    <w:rsid w:val="00162924"/>
    <w:rsid w:val="00163031"/>
    <w:rsid w:val="001632C2"/>
    <w:rsid w:val="001635F0"/>
    <w:rsid w:val="001651CC"/>
    <w:rsid w:val="001660DF"/>
    <w:rsid w:val="001661EB"/>
    <w:rsid w:val="0016646A"/>
    <w:rsid w:val="001667FA"/>
    <w:rsid w:val="00167177"/>
    <w:rsid w:val="00167477"/>
    <w:rsid w:val="001676E8"/>
    <w:rsid w:val="0016793D"/>
    <w:rsid w:val="001679BE"/>
    <w:rsid w:val="00171821"/>
    <w:rsid w:val="00171A57"/>
    <w:rsid w:val="001737C2"/>
    <w:rsid w:val="001742AC"/>
    <w:rsid w:val="00174802"/>
    <w:rsid w:val="00175B43"/>
    <w:rsid w:val="00175D2D"/>
    <w:rsid w:val="00176F0F"/>
    <w:rsid w:val="00177993"/>
    <w:rsid w:val="00180160"/>
    <w:rsid w:val="00180F37"/>
    <w:rsid w:val="001814E6"/>
    <w:rsid w:val="00181B98"/>
    <w:rsid w:val="00182F11"/>
    <w:rsid w:val="0018396F"/>
    <w:rsid w:val="00183AE3"/>
    <w:rsid w:val="00186A5D"/>
    <w:rsid w:val="00186FD2"/>
    <w:rsid w:val="001875B2"/>
    <w:rsid w:val="00187720"/>
    <w:rsid w:val="0018799B"/>
    <w:rsid w:val="00187A1B"/>
    <w:rsid w:val="0019003C"/>
    <w:rsid w:val="00190179"/>
    <w:rsid w:val="001902EE"/>
    <w:rsid w:val="00190852"/>
    <w:rsid w:val="00190DBF"/>
    <w:rsid w:val="00190E18"/>
    <w:rsid w:val="00191B1A"/>
    <w:rsid w:val="00191C02"/>
    <w:rsid w:val="00192780"/>
    <w:rsid w:val="00192D7E"/>
    <w:rsid w:val="00193F15"/>
    <w:rsid w:val="00194F30"/>
    <w:rsid w:val="0019539A"/>
    <w:rsid w:val="001954CC"/>
    <w:rsid w:val="001967BC"/>
    <w:rsid w:val="0019751A"/>
    <w:rsid w:val="001A14B7"/>
    <w:rsid w:val="001A216D"/>
    <w:rsid w:val="001A227F"/>
    <w:rsid w:val="001A2A7E"/>
    <w:rsid w:val="001A4149"/>
    <w:rsid w:val="001A4AE6"/>
    <w:rsid w:val="001A5221"/>
    <w:rsid w:val="001A5BD2"/>
    <w:rsid w:val="001B00FE"/>
    <w:rsid w:val="001B1CCB"/>
    <w:rsid w:val="001B29C9"/>
    <w:rsid w:val="001B2B05"/>
    <w:rsid w:val="001B3B3C"/>
    <w:rsid w:val="001B5A03"/>
    <w:rsid w:val="001B6483"/>
    <w:rsid w:val="001B7F61"/>
    <w:rsid w:val="001C0BC1"/>
    <w:rsid w:val="001C108B"/>
    <w:rsid w:val="001C10D5"/>
    <w:rsid w:val="001C167F"/>
    <w:rsid w:val="001C281D"/>
    <w:rsid w:val="001C3333"/>
    <w:rsid w:val="001C37BB"/>
    <w:rsid w:val="001C38A8"/>
    <w:rsid w:val="001C5596"/>
    <w:rsid w:val="001C5A74"/>
    <w:rsid w:val="001C6BA9"/>
    <w:rsid w:val="001C7342"/>
    <w:rsid w:val="001C7349"/>
    <w:rsid w:val="001C76B2"/>
    <w:rsid w:val="001D038A"/>
    <w:rsid w:val="001D0593"/>
    <w:rsid w:val="001D0BD2"/>
    <w:rsid w:val="001D2634"/>
    <w:rsid w:val="001D364D"/>
    <w:rsid w:val="001D38FF"/>
    <w:rsid w:val="001D3995"/>
    <w:rsid w:val="001D4402"/>
    <w:rsid w:val="001D4F5E"/>
    <w:rsid w:val="001D627A"/>
    <w:rsid w:val="001D6BE7"/>
    <w:rsid w:val="001D6D16"/>
    <w:rsid w:val="001E0110"/>
    <w:rsid w:val="001E09E7"/>
    <w:rsid w:val="001E0D61"/>
    <w:rsid w:val="001E0E18"/>
    <w:rsid w:val="001E16A2"/>
    <w:rsid w:val="001E2072"/>
    <w:rsid w:val="001E2D45"/>
    <w:rsid w:val="001E2F3C"/>
    <w:rsid w:val="001E2FF4"/>
    <w:rsid w:val="001E368D"/>
    <w:rsid w:val="001E3E40"/>
    <w:rsid w:val="001E5461"/>
    <w:rsid w:val="001E582B"/>
    <w:rsid w:val="001E6564"/>
    <w:rsid w:val="001E66AD"/>
    <w:rsid w:val="001E6AC4"/>
    <w:rsid w:val="001E7700"/>
    <w:rsid w:val="001E7E9E"/>
    <w:rsid w:val="001F0B79"/>
    <w:rsid w:val="001F0BA1"/>
    <w:rsid w:val="001F0EB7"/>
    <w:rsid w:val="001F1D25"/>
    <w:rsid w:val="001F38EF"/>
    <w:rsid w:val="001F407A"/>
    <w:rsid w:val="001F4786"/>
    <w:rsid w:val="001F4FB9"/>
    <w:rsid w:val="001F5A65"/>
    <w:rsid w:val="001F696F"/>
    <w:rsid w:val="001F7F8C"/>
    <w:rsid w:val="00200334"/>
    <w:rsid w:val="002004A8"/>
    <w:rsid w:val="00200A9B"/>
    <w:rsid w:val="00200CAE"/>
    <w:rsid w:val="00201D04"/>
    <w:rsid w:val="00202996"/>
    <w:rsid w:val="0020360E"/>
    <w:rsid w:val="0020363F"/>
    <w:rsid w:val="00203910"/>
    <w:rsid w:val="00203F40"/>
    <w:rsid w:val="00204BB1"/>
    <w:rsid w:val="00204BE1"/>
    <w:rsid w:val="00204CFE"/>
    <w:rsid w:val="002051CC"/>
    <w:rsid w:val="002051D4"/>
    <w:rsid w:val="00205E17"/>
    <w:rsid w:val="00205FC6"/>
    <w:rsid w:val="002071B5"/>
    <w:rsid w:val="0020734A"/>
    <w:rsid w:val="002073D7"/>
    <w:rsid w:val="00210EB1"/>
    <w:rsid w:val="002118B3"/>
    <w:rsid w:val="00212593"/>
    <w:rsid w:val="00212CDD"/>
    <w:rsid w:val="00212F6F"/>
    <w:rsid w:val="0021332E"/>
    <w:rsid w:val="00214311"/>
    <w:rsid w:val="00214DE8"/>
    <w:rsid w:val="00215051"/>
    <w:rsid w:val="002152EC"/>
    <w:rsid w:val="00215312"/>
    <w:rsid w:val="0021666F"/>
    <w:rsid w:val="00216682"/>
    <w:rsid w:val="00220429"/>
    <w:rsid w:val="002208FD"/>
    <w:rsid w:val="002211DD"/>
    <w:rsid w:val="00221A9E"/>
    <w:rsid w:val="00221B6F"/>
    <w:rsid w:val="00221D41"/>
    <w:rsid w:val="00222676"/>
    <w:rsid w:val="00222A12"/>
    <w:rsid w:val="00222D93"/>
    <w:rsid w:val="002236A0"/>
    <w:rsid w:val="00223E45"/>
    <w:rsid w:val="0022438D"/>
    <w:rsid w:val="0022476B"/>
    <w:rsid w:val="00224DCA"/>
    <w:rsid w:val="00225DA5"/>
    <w:rsid w:val="0022612D"/>
    <w:rsid w:val="00226C54"/>
    <w:rsid w:val="002312F0"/>
    <w:rsid w:val="002318C1"/>
    <w:rsid w:val="0023289A"/>
    <w:rsid w:val="002328E8"/>
    <w:rsid w:val="0023331D"/>
    <w:rsid w:val="0023392E"/>
    <w:rsid w:val="00233C73"/>
    <w:rsid w:val="00233F0A"/>
    <w:rsid w:val="002343CD"/>
    <w:rsid w:val="002356E4"/>
    <w:rsid w:val="002358BF"/>
    <w:rsid w:val="00235D4A"/>
    <w:rsid w:val="00236335"/>
    <w:rsid w:val="002364A1"/>
    <w:rsid w:val="00236B7B"/>
    <w:rsid w:val="00237F40"/>
    <w:rsid w:val="00240AB5"/>
    <w:rsid w:val="00241178"/>
    <w:rsid w:val="00241314"/>
    <w:rsid w:val="00242A59"/>
    <w:rsid w:val="00242CEB"/>
    <w:rsid w:val="002435E7"/>
    <w:rsid w:val="00243A13"/>
    <w:rsid w:val="00244803"/>
    <w:rsid w:val="00244CBD"/>
    <w:rsid w:val="0024530D"/>
    <w:rsid w:val="00246131"/>
    <w:rsid w:val="00247264"/>
    <w:rsid w:val="00247AA1"/>
    <w:rsid w:val="00247E3A"/>
    <w:rsid w:val="00250232"/>
    <w:rsid w:val="00250420"/>
    <w:rsid w:val="00250732"/>
    <w:rsid w:val="002508EE"/>
    <w:rsid w:val="00251807"/>
    <w:rsid w:val="002518EE"/>
    <w:rsid w:val="00251A24"/>
    <w:rsid w:val="00251BE0"/>
    <w:rsid w:val="002534BC"/>
    <w:rsid w:val="00253938"/>
    <w:rsid w:val="00254180"/>
    <w:rsid w:val="0025482F"/>
    <w:rsid w:val="00254D2B"/>
    <w:rsid w:val="00254EC9"/>
    <w:rsid w:val="00255184"/>
    <w:rsid w:val="00255BD0"/>
    <w:rsid w:val="00256424"/>
    <w:rsid w:val="00257292"/>
    <w:rsid w:val="002573C6"/>
    <w:rsid w:val="0025776F"/>
    <w:rsid w:val="00260E14"/>
    <w:rsid w:val="00260E47"/>
    <w:rsid w:val="00261919"/>
    <w:rsid w:val="0026248F"/>
    <w:rsid w:val="002624F2"/>
    <w:rsid w:val="00263586"/>
    <w:rsid w:val="002636C5"/>
    <w:rsid w:val="0026399C"/>
    <w:rsid w:val="00263E10"/>
    <w:rsid w:val="002643C7"/>
    <w:rsid w:val="00264BBF"/>
    <w:rsid w:val="00266C64"/>
    <w:rsid w:val="0026779B"/>
    <w:rsid w:val="002700E5"/>
    <w:rsid w:val="00271957"/>
    <w:rsid w:val="00271FC6"/>
    <w:rsid w:val="00272672"/>
    <w:rsid w:val="00272A31"/>
    <w:rsid w:val="00272BA0"/>
    <w:rsid w:val="00273165"/>
    <w:rsid w:val="0027344F"/>
    <w:rsid w:val="00273861"/>
    <w:rsid w:val="00274678"/>
    <w:rsid w:val="00275F09"/>
    <w:rsid w:val="002764DD"/>
    <w:rsid w:val="002765AC"/>
    <w:rsid w:val="00277FB8"/>
    <w:rsid w:val="00280000"/>
    <w:rsid w:val="00280587"/>
    <w:rsid w:val="00280716"/>
    <w:rsid w:val="00280E5F"/>
    <w:rsid w:val="002828EC"/>
    <w:rsid w:val="002834D1"/>
    <w:rsid w:val="0028375D"/>
    <w:rsid w:val="00283A91"/>
    <w:rsid w:val="00283AB8"/>
    <w:rsid w:val="00283D08"/>
    <w:rsid w:val="00283F02"/>
    <w:rsid w:val="002840C2"/>
    <w:rsid w:val="00284388"/>
    <w:rsid w:val="00285F56"/>
    <w:rsid w:val="002903F3"/>
    <w:rsid w:val="00291E1D"/>
    <w:rsid w:val="0029222C"/>
    <w:rsid w:val="00292F56"/>
    <w:rsid w:val="0029400C"/>
    <w:rsid w:val="002940ED"/>
    <w:rsid w:val="00295236"/>
    <w:rsid w:val="00295A69"/>
    <w:rsid w:val="002967A9"/>
    <w:rsid w:val="00297AF8"/>
    <w:rsid w:val="002A07CC"/>
    <w:rsid w:val="002A07D7"/>
    <w:rsid w:val="002A1943"/>
    <w:rsid w:val="002A19B1"/>
    <w:rsid w:val="002A25DE"/>
    <w:rsid w:val="002A3391"/>
    <w:rsid w:val="002A38FD"/>
    <w:rsid w:val="002A4FBC"/>
    <w:rsid w:val="002A504E"/>
    <w:rsid w:val="002A5171"/>
    <w:rsid w:val="002A6203"/>
    <w:rsid w:val="002A6471"/>
    <w:rsid w:val="002A6585"/>
    <w:rsid w:val="002A670F"/>
    <w:rsid w:val="002A7B5E"/>
    <w:rsid w:val="002B0052"/>
    <w:rsid w:val="002B1602"/>
    <w:rsid w:val="002B16C4"/>
    <w:rsid w:val="002B22B3"/>
    <w:rsid w:val="002B3C65"/>
    <w:rsid w:val="002B4C68"/>
    <w:rsid w:val="002B5110"/>
    <w:rsid w:val="002B5812"/>
    <w:rsid w:val="002B5ACE"/>
    <w:rsid w:val="002B684A"/>
    <w:rsid w:val="002B68F9"/>
    <w:rsid w:val="002B7B0D"/>
    <w:rsid w:val="002C2542"/>
    <w:rsid w:val="002C2B96"/>
    <w:rsid w:val="002C2E67"/>
    <w:rsid w:val="002C311E"/>
    <w:rsid w:val="002C3EFD"/>
    <w:rsid w:val="002C4EBD"/>
    <w:rsid w:val="002C58F5"/>
    <w:rsid w:val="002C6435"/>
    <w:rsid w:val="002C6CDF"/>
    <w:rsid w:val="002C701A"/>
    <w:rsid w:val="002C7242"/>
    <w:rsid w:val="002C7830"/>
    <w:rsid w:val="002C78E3"/>
    <w:rsid w:val="002D0D52"/>
    <w:rsid w:val="002D1A40"/>
    <w:rsid w:val="002D2404"/>
    <w:rsid w:val="002D245D"/>
    <w:rsid w:val="002D2B90"/>
    <w:rsid w:val="002D33B7"/>
    <w:rsid w:val="002D359D"/>
    <w:rsid w:val="002D4481"/>
    <w:rsid w:val="002D4EF3"/>
    <w:rsid w:val="002D7401"/>
    <w:rsid w:val="002D7F6F"/>
    <w:rsid w:val="002E030F"/>
    <w:rsid w:val="002E0555"/>
    <w:rsid w:val="002E0E06"/>
    <w:rsid w:val="002E46A0"/>
    <w:rsid w:val="002E4927"/>
    <w:rsid w:val="002E4C55"/>
    <w:rsid w:val="002E4E04"/>
    <w:rsid w:val="002E5344"/>
    <w:rsid w:val="002E5A1C"/>
    <w:rsid w:val="002E6D2B"/>
    <w:rsid w:val="002E70B2"/>
    <w:rsid w:val="002E727C"/>
    <w:rsid w:val="002E7CAE"/>
    <w:rsid w:val="002F0461"/>
    <w:rsid w:val="002F0E8E"/>
    <w:rsid w:val="002F1A94"/>
    <w:rsid w:val="002F2386"/>
    <w:rsid w:val="002F24B0"/>
    <w:rsid w:val="002F2B65"/>
    <w:rsid w:val="002F3BE4"/>
    <w:rsid w:val="002F3C04"/>
    <w:rsid w:val="002F49DA"/>
    <w:rsid w:val="002F5725"/>
    <w:rsid w:val="002F5B21"/>
    <w:rsid w:val="002F7ADE"/>
    <w:rsid w:val="0030039B"/>
    <w:rsid w:val="003015DC"/>
    <w:rsid w:val="00301FCC"/>
    <w:rsid w:val="003028B4"/>
    <w:rsid w:val="00303496"/>
    <w:rsid w:val="00303936"/>
    <w:rsid w:val="003042E0"/>
    <w:rsid w:val="003045E3"/>
    <w:rsid w:val="00304E51"/>
    <w:rsid w:val="00305DAC"/>
    <w:rsid w:val="003060E7"/>
    <w:rsid w:val="003065F0"/>
    <w:rsid w:val="00306B09"/>
    <w:rsid w:val="0030767A"/>
    <w:rsid w:val="00307B4A"/>
    <w:rsid w:val="00310F1D"/>
    <w:rsid w:val="00311BB2"/>
    <w:rsid w:val="003140EA"/>
    <w:rsid w:val="0031427D"/>
    <w:rsid w:val="00314333"/>
    <w:rsid w:val="0031472B"/>
    <w:rsid w:val="0031549A"/>
    <w:rsid w:val="00315576"/>
    <w:rsid w:val="00315B0C"/>
    <w:rsid w:val="00315D4C"/>
    <w:rsid w:val="00316378"/>
    <w:rsid w:val="00316628"/>
    <w:rsid w:val="003178EF"/>
    <w:rsid w:val="0031796A"/>
    <w:rsid w:val="003205C2"/>
    <w:rsid w:val="003208C8"/>
    <w:rsid w:val="00320BE1"/>
    <w:rsid w:val="00321116"/>
    <w:rsid w:val="00321225"/>
    <w:rsid w:val="0032126B"/>
    <w:rsid w:val="00321C99"/>
    <w:rsid w:val="00323C12"/>
    <w:rsid w:val="00323F25"/>
    <w:rsid w:val="00324160"/>
    <w:rsid w:val="003254F4"/>
    <w:rsid w:val="0032633E"/>
    <w:rsid w:val="00326BD5"/>
    <w:rsid w:val="00327448"/>
    <w:rsid w:val="00330188"/>
    <w:rsid w:val="003311D0"/>
    <w:rsid w:val="00331C28"/>
    <w:rsid w:val="00331EC9"/>
    <w:rsid w:val="003336A5"/>
    <w:rsid w:val="003339D0"/>
    <w:rsid w:val="00333DEC"/>
    <w:rsid w:val="003343A1"/>
    <w:rsid w:val="003350BA"/>
    <w:rsid w:val="003360FB"/>
    <w:rsid w:val="00336B28"/>
    <w:rsid w:val="003373AA"/>
    <w:rsid w:val="003377EA"/>
    <w:rsid w:val="00337F2C"/>
    <w:rsid w:val="00340544"/>
    <w:rsid w:val="003413DD"/>
    <w:rsid w:val="00341F04"/>
    <w:rsid w:val="00342B93"/>
    <w:rsid w:val="0034357F"/>
    <w:rsid w:val="003436CA"/>
    <w:rsid w:val="00344666"/>
    <w:rsid w:val="0034468E"/>
    <w:rsid w:val="00344DC5"/>
    <w:rsid w:val="00345698"/>
    <w:rsid w:val="003464FF"/>
    <w:rsid w:val="003466E0"/>
    <w:rsid w:val="00350ABE"/>
    <w:rsid w:val="00351005"/>
    <w:rsid w:val="003519E6"/>
    <w:rsid w:val="00351B85"/>
    <w:rsid w:val="00351E2B"/>
    <w:rsid w:val="003524D6"/>
    <w:rsid w:val="00353527"/>
    <w:rsid w:val="00353D3C"/>
    <w:rsid w:val="00353E97"/>
    <w:rsid w:val="00354326"/>
    <w:rsid w:val="0035495B"/>
    <w:rsid w:val="00354D99"/>
    <w:rsid w:val="0035527D"/>
    <w:rsid w:val="00355498"/>
    <w:rsid w:val="00355D20"/>
    <w:rsid w:val="00357763"/>
    <w:rsid w:val="003577A6"/>
    <w:rsid w:val="00357D65"/>
    <w:rsid w:val="0036070A"/>
    <w:rsid w:val="0036130D"/>
    <w:rsid w:val="0036200A"/>
    <w:rsid w:val="00362BE7"/>
    <w:rsid w:val="003630FA"/>
    <w:rsid w:val="0036334A"/>
    <w:rsid w:val="00363623"/>
    <w:rsid w:val="0036367F"/>
    <w:rsid w:val="00363B5E"/>
    <w:rsid w:val="00366658"/>
    <w:rsid w:val="00366F6D"/>
    <w:rsid w:val="00367C7F"/>
    <w:rsid w:val="003711A0"/>
    <w:rsid w:val="003719A0"/>
    <w:rsid w:val="0037219A"/>
    <w:rsid w:val="003722CA"/>
    <w:rsid w:val="0037291A"/>
    <w:rsid w:val="00372C4F"/>
    <w:rsid w:val="00373570"/>
    <w:rsid w:val="00373AE6"/>
    <w:rsid w:val="00374299"/>
    <w:rsid w:val="00375346"/>
    <w:rsid w:val="00375537"/>
    <w:rsid w:val="0037675C"/>
    <w:rsid w:val="00376A9D"/>
    <w:rsid w:val="00376C4B"/>
    <w:rsid w:val="00377304"/>
    <w:rsid w:val="003800F6"/>
    <w:rsid w:val="00380DE2"/>
    <w:rsid w:val="003813FD"/>
    <w:rsid w:val="00381672"/>
    <w:rsid w:val="003816F2"/>
    <w:rsid w:val="0038179A"/>
    <w:rsid w:val="00382BAA"/>
    <w:rsid w:val="00383887"/>
    <w:rsid w:val="00383DFE"/>
    <w:rsid w:val="00383FB1"/>
    <w:rsid w:val="003841CE"/>
    <w:rsid w:val="003844D4"/>
    <w:rsid w:val="00384835"/>
    <w:rsid w:val="00384CB2"/>
    <w:rsid w:val="0038500E"/>
    <w:rsid w:val="0038505F"/>
    <w:rsid w:val="003855A6"/>
    <w:rsid w:val="003875CD"/>
    <w:rsid w:val="003902C2"/>
    <w:rsid w:val="00390DFE"/>
    <w:rsid w:val="00391131"/>
    <w:rsid w:val="003911B3"/>
    <w:rsid w:val="0039181D"/>
    <w:rsid w:val="00391F33"/>
    <w:rsid w:val="00393027"/>
    <w:rsid w:val="00393FAB"/>
    <w:rsid w:val="00394334"/>
    <w:rsid w:val="003947AA"/>
    <w:rsid w:val="00395B80"/>
    <w:rsid w:val="0039689F"/>
    <w:rsid w:val="003969DF"/>
    <w:rsid w:val="00396B3B"/>
    <w:rsid w:val="00396E1F"/>
    <w:rsid w:val="00396E3C"/>
    <w:rsid w:val="00397909"/>
    <w:rsid w:val="003A0A4D"/>
    <w:rsid w:val="003A0F35"/>
    <w:rsid w:val="003A23C3"/>
    <w:rsid w:val="003A2431"/>
    <w:rsid w:val="003A2F9A"/>
    <w:rsid w:val="003A3506"/>
    <w:rsid w:val="003A39BB"/>
    <w:rsid w:val="003A40E3"/>
    <w:rsid w:val="003A422C"/>
    <w:rsid w:val="003A427A"/>
    <w:rsid w:val="003A62D2"/>
    <w:rsid w:val="003A62E7"/>
    <w:rsid w:val="003A69CA"/>
    <w:rsid w:val="003A6F28"/>
    <w:rsid w:val="003A702D"/>
    <w:rsid w:val="003A7219"/>
    <w:rsid w:val="003A77E8"/>
    <w:rsid w:val="003A799B"/>
    <w:rsid w:val="003A7AED"/>
    <w:rsid w:val="003B0956"/>
    <w:rsid w:val="003B09A6"/>
    <w:rsid w:val="003B1123"/>
    <w:rsid w:val="003B1BD8"/>
    <w:rsid w:val="003B1C8A"/>
    <w:rsid w:val="003B22D0"/>
    <w:rsid w:val="003B3650"/>
    <w:rsid w:val="003B3B01"/>
    <w:rsid w:val="003B40D4"/>
    <w:rsid w:val="003B6051"/>
    <w:rsid w:val="003B6369"/>
    <w:rsid w:val="003B69C8"/>
    <w:rsid w:val="003B6F2A"/>
    <w:rsid w:val="003B75C3"/>
    <w:rsid w:val="003B7656"/>
    <w:rsid w:val="003B7D62"/>
    <w:rsid w:val="003C0914"/>
    <w:rsid w:val="003C1336"/>
    <w:rsid w:val="003C1648"/>
    <w:rsid w:val="003C24FC"/>
    <w:rsid w:val="003C2560"/>
    <w:rsid w:val="003C36AB"/>
    <w:rsid w:val="003C38A2"/>
    <w:rsid w:val="003C4277"/>
    <w:rsid w:val="003C4CB5"/>
    <w:rsid w:val="003C4E06"/>
    <w:rsid w:val="003C56E3"/>
    <w:rsid w:val="003C5A0E"/>
    <w:rsid w:val="003C5B38"/>
    <w:rsid w:val="003C6B79"/>
    <w:rsid w:val="003C7E8C"/>
    <w:rsid w:val="003D0263"/>
    <w:rsid w:val="003D039F"/>
    <w:rsid w:val="003D03EA"/>
    <w:rsid w:val="003D0A77"/>
    <w:rsid w:val="003D0A7A"/>
    <w:rsid w:val="003D125F"/>
    <w:rsid w:val="003D1917"/>
    <w:rsid w:val="003D1ED6"/>
    <w:rsid w:val="003D1F6F"/>
    <w:rsid w:val="003D24DA"/>
    <w:rsid w:val="003D2594"/>
    <w:rsid w:val="003D26B3"/>
    <w:rsid w:val="003D2CC3"/>
    <w:rsid w:val="003D3EB1"/>
    <w:rsid w:val="003D41E9"/>
    <w:rsid w:val="003D4E87"/>
    <w:rsid w:val="003D4F25"/>
    <w:rsid w:val="003D5028"/>
    <w:rsid w:val="003D50E5"/>
    <w:rsid w:val="003D5721"/>
    <w:rsid w:val="003D5846"/>
    <w:rsid w:val="003D5AEA"/>
    <w:rsid w:val="003D67B6"/>
    <w:rsid w:val="003D7439"/>
    <w:rsid w:val="003E1642"/>
    <w:rsid w:val="003E1770"/>
    <w:rsid w:val="003E2227"/>
    <w:rsid w:val="003E2D06"/>
    <w:rsid w:val="003E2F75"/>
    <w:rsid w:val="003E32E6"/>
    <w:rsid w:val="003E3387"/>
    <w:rsid w:val="003E3AE9"/>
    <w:rsid w:val="003E3F29"/>
    <w:rsid w:val="003E4992"/>
    <w:rsid w:val="003E505C"/>
    <w:rsid w:val="003E54A7"/>
    <w:rsid w:val="003E6081"/>
    <w:rsid w:val="003F1C18"/>
    <w:rsid w:val="003F2C37"/>
    <w:rsid w:val="003F32B9"/>
    <w:rsid w:val="003F35FF"/>
    <w:rsid w:val="003F37FB"/>
    <w:rsid w:val="003F3F0A"/>
    <w:rsid w:val="003F4408"/>
    <w:rsid w:val="003F4D5F"/>
    <w:rsid w:val="003F5F6B"/>
    <w:rsid w:val="003F72CE"/>
    <w:rsid w:val="003F738C"/>
    <w:rsid w:val="003F7452"/>
    <w:rsid w:val="003F7F22"/>
    <w:rsid w:val="004001BE"/>
    <w:rsid w:val="0040066E"/>
    <w:rsid w:val="00401F2B"/>
    <w:rsid w:val="0040243E"/>
    <w:rsid w:val="00403B68"/>
    <w:rsid w:val="00403B87"/>
    <w:rsid w:val="0040587C"/>
    <w:rsid w:val="00407560"/>
    <w:rsid w:val="00407F4F"/>
    <w:rsid w:val="00410897"/>
    <w:rsid w:val="00412798"/>
    <w:rsid w:val="00412B83"/>
    <w:rsid w:val="00413278"/>
    <w:rsid w:val="0041333A"/>
    <w:rsid w:val="00413CB4"/>
    <w:rsid w:val="00413D9D"/>
    <w:rsid w:val="00413F85"/>
    <w:rsid w:val="004145B1"/>
    <w:rsid w:val="00414A49"/>
    <w:rsid w:val="00414E32"/>
    <w:rsid w:val="00414E3D"/>
    <w:rsid w:val="00415271"/>
    <w:rsid w:val="004158E3"/>
    <w:rsid w:val="00416557"/>
    <w:rsid w:val="0041718F"/>
    <w:rsid w:val="0041726B"/>
    <w:rsid w:val="0041762A"/>
    <w:rsid w:val="0042017E"/>
    <w:rsid w:val="00420859"/>
    <w:rsid w:val="00421624"/>
    <w:rsid w:val="00421649"/>
    <w:rsid w:val="00421A26"/>
    <w:rsid w:val="00422676"/>
    <w:rsid w:val="0042345C"/>
    <w:rsid w:val="004234F3"/>
    <w:rsid w:val="00424166"/>
    <w:rsid w:val="004243F9"/>
    <w:rsid w:val="0042544A"/>
    <w:rsid w:val="004256C1"/>
    <w:rsid w:val="00425906"/>
    <w:rsid w:val="00425FDF"/>
    <w:rsid w:val="004263C7"/>
    <w:rsid w:val="00427463"/>
    <w:rsid w:val="00430A5D"/>
    <w:rsid w:val="00431104"/>
    <w:rsid w:val="00432223"/>
    <w:rsid w:val="00433326"/>
    <w:rsid w:val="004340B1"/>
    <w:rsid w:val="0043477E"/>
    <w:rsid w:val="00434995"/>
    <w:rsid w:val="00435108"/>
    <w:rsid w:val="004357E0"/>
    <w:rsid w:val="00435B7C"/>
    <w:rsid w:val="00436037"/>
    <w:rsid w:val="00436330"/>
    <w:rsid w:val="00437779"/>
    <w:rsid w:val="0044005D"/>
    <w:rsid w:val="004420AC"/>
    <w:rsid w:val="00442B78"/>
    <w:rsid w:val="004447ED"/>
    <w:rsid w:val="004449C4"/>
    <w:rsid w:val="00445242"/>
    <w:rsid w:val="00445A04"/>
    <w:rsid w:val="00445FDD"/>
    <w:rsid w:val="004477F9"/>
    <w:rsid w:val="0044785C"/>
    <w:rsid w:val="004501F7"/>
    <w:rsid w:val="00450683"/>
    <w:rsid w:val="004518CE"/>
    <w:rsid w:val="00451945"/>
    <w:rsid w:val="00452424"/>
    <w:rsid w:val="00452451"/>
    <w:rsid w:val="00453A3B"/>
    <w:rsid w:val="00454B93"/>
    <w:rsid w:val="00454E12"/>
    <w:rsid w:val="004551F7"/>
    <w:rsid w:val="00455E2F"/>
    <w:rsid w:val="004569FE"/>
    <w:rsid w:val="00456B01"/>
    <w:rsid w:val="00456B64"/>
    <w:rsid w:val="00456BE7"/>
    <w:rsid w:val="00456D41"/>
    <w:rsid w:val="004571BD"/>
    <w:rsid w:val="00457B06"/>
    <w:rsid w:val="00457D61"/>
    <w:rsid w:val="00462055"/>
    <w:rsid w:val="00462240"/>
    <w:rsid w:val="00462BF4"/>
    <w:rsid w:val="00462DB7"/>
    <w:rsid w:val="00463116"/>
    <w:rsid w:val="004640AE"/>
    <w:rsid w:val="004649AC"/>
    <w:rsid w:val="00465AC1"/>
    <w:rsid w:val="00465BD5"/>
    <w:rsid w:val="00465F27"/>
    <w:rsid w:val="00466DB7"/>
    <w:rsid w:val="00467C0D"/>
    <w:rsid w:val="00467F7F"/>
    <w:rsid w:val="00470956"/>
    <w:rsid w:val="004727F7"/>
    <w:rsid w:val="00472B8D"/>
    <w:rsid w:val="00472F84"/>
    <w:rsid w:val="004731FA"/>
    <w:rsid w:val="004737FB"/>
    <w:rsid w:val="00474741"/>
    <w:rsid w:val="00474DCF"/>
    <w:rsid w:val="0047563D"/>
    <w:rsid w:val="00476DE4"/>
    <w:rsid w:val="00480A16"/>
    <w:rsid w:val="00480E1A"/>
    <w:rsid w:val="00480F57"/>
    <w:rsid w:val="00481871"/>
    <w:rsid w:val="00481C29"/>
    <w:rsid w:val="00481E03"/>
    <w:rsid w:val="00483539"/>
    <w:rsid w:val="00484143"/>
    <w:rsid w:val="00484F04"/>
    <w:rsid w:val="0048539E"/>
    <w:rsid w:val="004854DC"/>
    <w:rsid w:val="00485656"/>
    <w:rsid w:val="004862B7"/>
    <w:rsid w:val="00487973"/>
    <w:rsid w:val="004901A0"/>
    <w:rsid w:val="004901C1"/>
    <w:rsid w:val="00491336"/>
    <w:rsid w:val="004917A0"/>
    <w:rsid w:val="00491952"/>
    <w:rsid w:val="00491E99"/>
    <w:rsid w:val="0049219F"/>
    <w:rsid w:val="00492244"/>
    <w:rsid w:val="004922F7"/>
    <w:rsid w:val="00492668"/>
    <w:rsid w:val="00492E0C"/>
    <w:rsid w:val="004930AC"/>
    <w:rsid w:val="00494A43"/>
    <w:rsid w:val="00494F87"/>
    <w:rsid w:val="00494FB3"/>
    <w:rsid w:val="00495728"/>
    <w:rsid w:val="004960C5"/>
    <w:rsid w:val="00497204"/>
    <w:rsid w:val="00497E17"/>
    <w:rsid w:val="004A0619"/>
    <w:rsid w:val="004A221A"/>
    <w:rsid w:val="004A2974"/>
    <w:rsid w:val="004A2A69"/>
    <w:rsid w:val="004A2FE0"/>
    <w:rsid w:val="004A319C"/>
    <w:rsid w:val="004A36A8"/>
    <w:rsid w:val="004A39F7"/>
    <w:rsid w:val="004A3A53"/>
    <w:rsid w:val="004A3D01"/>
    <w:rsid w:val="004A4220"/>
    <w:rsid w:val="004A58A0"/>
    <w:rsid w:val="004A5AB1"/>
    <w:rsid w:val="004A69AC"/>
    <w:rsid w:val="004A7130"/>
    <w:rsid w:val="004A78A6"/>
    <w:rsid w:val="004A7ECC"/>
    <w:rsid w:val="004A7F5F"/>
    <w:rsid w:val="004B109E"/>
    <w:rsid w:val="004B153F"/>
    <w:rsid w:val="004B20C0"/>
    <w:rsid w:val="004B2783"/>
    <w:rsid w:val="004B332F"/>
    <w:rsid w:val="004B3465"/>
    <w:rsid w:val="004B445E"/>
    <w:rsid w:val="004B60DF"/>
    <w:rsid w:val="004B6137"/>
    <w:rsid w:val="004B642B"/>
    <w:rsid w:val="004B7D5F"/>
    <w:rsid w:val="004C07B2"/>
    <w:rsid w:val="004C097D"/>
    <w:rsid w:val="004C09A8"/>
    <w:rsid w:val="004C1FF8"/>
    <w:rsid w:val="004C2D62"/>
    <w:rsid w:val="004C35A3"/>
    <w:rsid w:val="004C36E6"/>
    <w:rsid w:val="004C387B"/>
    <w:rsid w:val="004C3953"/>
    <w:rsid w:val="004C4A40"/>
    <w:rsid w:val="004C4A94"/>
    <w:rsid w:val="004C510A"/>
    <w:rsid w:val="004C5C23"/>
    <w:rsid w:val="004C6B0F"/>
    <w:rsid w:val="004C6BE1"/>
    <w:rsid w:val="004C6F2B"/>
    <w:rsid w:val="004C75B6"/>
    <w:rsid w:val="004C7C44"/>
    <w:rsid w:val="004D01CB"/>
    <w:rsid w:val="004D1500"/>
    <w:rsid w:val="004D1C96"/>
    <w:rsid w:val="004D3ECA"/>
    <w:rsid w:val="004D42B8"/>
    <w:rsid w:val="004D4FAF"/>
    <w:rsid w:val="004D58C7"/>
    <w:rsid w:val="004D68FC"/>
    <w:rsid w:val="004D7620"/>
    <w:rsid w:val="004E1686"/>
    <w:rsid w:val="004E1FCA"/>
    <w:rsid w:val="004E3CF2"/>
    <w:rsid w:val="004E4D2A"/>
    <w:rsid w:val="004E4EAB"/>
    <w:rsid w:val="004E5343"/>
    <w:rsid w:val="004E5860"/>
    <w:rsid w:val="004E5909"/>
    <w:rsid w:val="004E5EA3"/>
    <w:rsid w:val="004E685D"/>
    <w:rsid w:val="004E7864"/>
    <w:rsid w:val="004E7E7F"/>
    <w:rsid w:val="004F09C5"/>
    <w:rsid w:val="004F0B79"/>
    <w:rsid w:val="004F151F"/>
    <w:rsid w:val="004F1787"/>
    <w:rsid w:val="004F1D73"/>
    <w:rsid w:val="004F2121"/>
    <w:rsid w:val="004F21D5"/>
    <w:rsid w:val="004F240E"/>
    <w:rsid w:val="004F2A26"/>
    <w:rsid w:val="004F30B0"/>
    <w:rsid w:val="004F4DDD"/>
    <w:rsid w:val="004F67D6"/>
    <w:rsid w:val="004F6F3F"/>
    <w:rsid w:val="004F6F53"/>
    <w:rsid w:val="00500D2B"/>
    <w:rsid w:val="00500D6F"/>
    <w:rsid w:val="00501319"/>
    <w:rsid w:val="005013B6"/>
    <w:rsid w:val="00501A55"/>
    <w:rsid w:val="00501B59"/>
    <w:rsid w:val="0050238E"/>
    <w:rsid w:val="00502A0F"/>
    <w:rsid w:val="005035D5"/>
    <w:rsid w:val="005036A0"/>
    <w:rsid w:val="00503E1F"/>
    <w:rsid w:val="00504B55"/>
    <w:rsid w:val="00504FDC"/>
    <w:rsid w:val="00505701"/>
    <w:rsid w:val="00505A22"/>
    <w:rsid w:val="00505C88"/>
    <w:rsid w:val="005062F8"/>
    <w:rsid w:val="0050652B"/>
    <w:rsid w:val="00506574"/>
    <w:rsid w:val="0050678E"/>
    <w:rsid w:val="005072DD"/>
    <w:rsid w:val="00507321"/>
    <w:rsid w:val="00507D74"/>
    <w:rsid w:val="00510121"/>
    <w:rsid w:val="005103AB"/>
    <w:rsid w:val="005112D2"/>
    <w:rsid w:val="00511A36"/>
    <w:rsid w:val="00511C38"/>
    <w:rsid w:val="00511F61"/>
    <w:rsid w:val="00512404"/>
    <w:rsid w:val="005125F2"/>
    <w:rsid w:val="005146DF"/>
    <w:rsid w:val="00514957"/>
    <w:rsid w:val="005158D1"/>
    <w:rsid w:val="00515FF6"/>
    <w:rsid w:val="005163E9"/>
    <w:rsid w:val="005172EE"/>
    <w:rsid w:val="00520688"/>
    <w:rsid w:val="005219E8"/>
    <w:rsid w:val="005219F2"/>
    <w:rsid w:val="00521CBD"/>
    <w:rsid w:val="00521E47"/>
    <w:rsid w:val="00521E4C"/>
    <w:rsid w:val="00522068"/>
    <w:rsid w:val="0052303A"/>
    <w:rsid w:val="0052310A"/>
    <w:rsid w:val="005238FB"/>
    <w:rsid w:val="00523C83"/>
    <w:rsid w:val="00524350"/>
    <w:rsid w:val="00524735"/>
    <w:rsid w:val="005253DA"/>
    <w:rsid w:val="005255EE"/>
    <w:rsid w:val="005258A7"/>
    <w:rsid w:val="00526701"/>
    <w:rsid w:val="005269D5"/>
    <w:rsid w:val="00526D46"/>
    <w:rsid w:val="00526ED4"/>
    <w:rsid w:val="00526FD4"/>
    <w:rsid w:val="00527093"/>
    <w:rsid w:val="00527147"/>
    <w:rsid w:val="0052773E"/>
    <w:rsid w:val="00527A08"/>
    <w:rsid w:val="00530482"/>
    <w:rsid w:val="0053106B"/>
    <w:rsid w:val="00531694"/>
    <w:rsid w:val="005320D9"/>
    <w:rsid w:val="00532859"/>
    <w:rsid w:val="00533136"/>
    <w:rsid w:val="005361A2"/>
    <w:rsid w:val="00536226"/>
    <w:rsid w:val="00536CC9"/>
    <w:rsid w:val="00537480"/>
    <w:rsid w:val="00537D9A"/>
    <w:rsid w:val="00540089"/>
    <w:rsid w:val="00540848"/>
    <w:rsid w:val="00540B78"/>
    <w:rsid w:val="0054131D"/>
    <w:rsid w:val="005417ED"/>
    <w:rsid w:val="0054311F"/>
    <w:rsid w:val="005457D2"/>
    <w:rsid w:val="00546980"/>
    <w:rsid w:val="0054711A"/>
    <w:rsid w:val="0054716F"/>
    <w:rsid w:val="00550F9D"/>
    <w:rsid w:val="0055161F"/>
    <w:rsid w:val="00551BF6"/>
    <w:rsid w:val="00551E47"/>
    <w:rsid w:val="005532A1"/>
    <w:rsid w:val="00553399"/>
    <w:rsid w:val="0055339E"/>
    <w:rsid w:val="005536AC"/>
    <w:rsid w:val="005538F7"/>
    <w:rsid w:val="00553B43"/>
    <w:rsid w:val="00553DD7"/>
    <w:rsid w:val="00554692"/>
    <w:rsid w:val="005547C9"/>
    <w:rsid w:val="005548A1"/>
    <w:rsid w:val="00554E76"/>
    <w:rsid w:val="00555426"/>
    <w:rsid w:val="00555A7E"/>
    <w:rsid w:val="00555FEF"/>
    <w:rsid w:val="005560D8"/>
    <w:rsid w:val="005569A4"/>
    <w:rsid w:val="00557133"/>
    <w:rsid w:val="00560F27"/>
    <w:rsid w:val="00560F29"/>
    <w:rsid w:val="00561513"/>
    <w:rsid w:val="00561F65"/>
    <w:rsid w:val="00562D4F"/>
    <w:rsid w:val="00564393"/>
    <w:rsid w:val="00564647"/>
    <w:rsid w:val="00564681"/>
    <w:rsid w:val="0056478C"/>
    <w:rsid w:val="00564D5C"/>
    <w:rsid w:val="005650AF"/>
    <w:rsid w:val="00565242"/>
    <w:rsid w:val="00566084"/>
    <w:rsid w:val="0056657F"/>
    <w:rsid w:val="005710BE"/>
    <w:rsid w:val="0057122F"/>
    <w:rsid w:val="005712C6"/>
    <w:rsid w:val="005714CC"/>
    <w:rsid w:val="00571928"/>
    <w:rsid w:val="00572D77"/>
    <w:rsid w:val="00573770"/>
    <w:rsid w:val="00574790"/>
    <w:rsid w:val="00574EBD"/>
    <w:rsid w:val="00575E0A"/>
    <w:rsid w:val="00576691"/>
    <w:rsid w:val="00577C26"/>
    <w:rsid w:val="00577F60"/>
    <w:rsid w:val="00577FCC"/>
    <w:rsid w:val="00580231"/>
    <w:rsid w:val="005825D8"/>
    <w:rsid w:val="0058457E"/>
    <w:rsid w:val="00584623"/>
    <w:rsid w:val="0058487B"/>
    <w:rsid w:val="00584C62"/>
    <w:rsid w:val="00584D24"/>
    <w:rsid w:val="0058525E"/>
    <w:rsid w:val="00585C30"/>
    <w:rsid w:val="00586354"/>
    <w:rsid w:val="00587DD0"/>
    <w:rsid w:val="00590079"/>
    <w:rsid w:val="00590CC3"/>
    <w:rsid w:val="00590F89"/>
    <w:rsid w:val="00591437"/>
    <w:rsid w:val="00591B41"/>
    <w:rsid w:val="0059253B"/>
    <w:rsid w:val="00592AD4"/>
    <w:rsid w:val="00593240"/>
    <w:rsid w:val="00593783"/>
    <w:rsid w:val="00594408"/>
    <w:rsid w:val="00594491"/>
    <w:rsid w:val="00595ECF"/>
    <w:rsid w:val="005972CB"/>
    <w:rsid w:val="00597A9B"/>
    <w:rsid w:val="00597C7F"/>
    <w:rsid w:val="005A14DC"/>
    <w:rsid w:val="005A2039"/>
    <w:rsid w:val="005A2044"/>
    <w:rsid w:val="005A41E2"/>
    <w:rsid w:val="005A427A"/>
    <w:rsid w:val="005A4B78"/>
    <w:rsid w:val="005A5363"/>
    <w:rsid w:val="005A5764"/>
    <w:rsid w:val="005A5ED1"/>
    <w:rsid w:val="005A61AC"/>
    <w:rsid w:val="005A6930"/>
    <w:rsid w:val="005A6BA8"/>
    <w:rsid w:val="005A6FF5"/>
    <w:rsid w:val="005B1B51"/>
    <w:rsid w:val="005B3176"/>
    <w:rsid w:val="005B3569"/>
    <w:rsid w:val="005B3AF2"/>
    <w:rsid w:val="005B3B1A"/>
    <w:rsid w:val="005B44CD"/>
    <w:rsid w:val="005B46F3"/>
    <w:rsid w:val="005B580C"/>
    <w:rsid w:val="005B59BF"/>
    <w:rsid w:val="005B5F41"/>
    <w:rsid w:val="005B6BD5"/>
    <w:rsid w:val="005B7EBE"/>
    <w:rsid w:val="005C1545"/>
    <w:rsid w:val="005C1A62"/>
    <w:rsid w:val="005C24E8"/>
    <w:rsid w:val="005C2968"/>
    <w:rsid w:val="005C47BA"/>
    <w:rsid w:val="005C53D5"/>
    <w:rsid w:val="005C60BB"/>
    <w:rsid w:val="005C6CBA"/>
    <w:rsid w:val="005C6E83"/>
    <w:rsid w:val="005C730F"/>
    <w:rsid w:val="005C7812"/>
    <w:rsid w:val="005C79E6"/>
    <w:rsid w:val="005D09AD"/>
    <w:rsid w:val="005D0AB1"/>
    <w:rsid w:val="005D12C5"/>
    <w:rsid w:val="005D1A1C"/>
    <w:rsid w:val="005D3674"/>
    <w:rsid w:val="005D37D9"/>
    <w:rsid w:val="005D3DD6"/>
    <w:rsid w:val="005D3F05"/>
    <w:rsid w:val="005D4604"/>
    <w:rsid w:val="005D4F29"/>
    <w:rsid w:val="005D50D4"/>
    <w:rsid w:val="005D581F"/>
    <w:rsid w:val="005D5ECF"/>
    <w:rsid w:val="005D6509"/>
    <w:rsid w:val="005D72D8"/>
    <w:rsid w:val="005D7399"/>
    <w:rsid w:val="005D7580"/>
    <w:rsid w:val="005D78B4"/>
    <w:rsid w:val="005E02B4"/>
    <w:rsid w:val="005E05BB"/>
    <w:rsid w:val="005E0B31"/>
    <w:rsid w:val="005E194D"/>
    <w:rsid w:val="005E21ED"/>
    <w:rsid w:val="005E405D"/>
    <w:rsid w:val="005E41CF"/>
    <w:rsid w:val="005E43AE"/>
    <w:rsid w:val="005E4F36"/>
    <w:rsid w:val="005E587E"/>
    <w:rsid w:val="005E599A"/>
    <w:rsid w:val="005E7992"/>
    <w:rsid w:val="005E7C62"/>
    <w:rsid w:val="005F0D0C"/>
    <w:rsid w:val="005F1243"/>
    <w:rsid w:val="005F20D9"/>
    <w:rsid w:val="005F20FD"/>
    <w:rsid w:val="005F2D91"/>
    <w:rsid w:val="005F3383"/>
    <w:rsid w:val="005F3ED6"/>
    <w:rsid w:val="005F4C84"/>
    <w:rsid w:val="005F4D64"/>
    <w:rsid w:val="005F5184"/>
    <w:rsid w:val="005F51BB"/>
    <w:rsid w:val="005F5871"/>
    <w:rsid w:val="005F5880"/>
    <w:rsid w:val="005F6598"/>
    <w:rsid w:val="005F6670"/>
    <w:rsid w:val="0060133A"/>
    <w:rsid w:val="0060149C"/>
    <w:rsid w:val="00601924"/>
    <w:rsid w:val="006025B2"/>
    <w:rsid w:val="00602753"/>
    <w:rsid w:val="0060391A"/>
    <w:rsid w:val="00604B70"/>
    <w:rsid w:val="00605ED5"/>
    <w:rsid w:val="006104C9"/>
    <w:rsid w:val="006113B5"/>
    <w:rsid w:val="006117EC"/>
    <w:rsid w:val="00615824"/>
    <w:rsid w:val="00615848"/>
    <w:rsid w:val="00616780"/>
    <w:rsid w:val="00617003"/>
    <w:rsid w:val="00620391"/>
    <w:rsid w:val="006206E8"/>
    <w:rsid w:val="006211E2"/>
    <w:rsid w:val="00621A9C"/>
    <w:rsid w:val="00621F31"/>
    <w:rsid w:val="00622232"/>
    <w:rsid w:val="006228DF"/>
    <w:rsid w:val="00622954"/>
    <w:rsid w:val="00622E6B"/>
    <w:rsid w:val="00622F77"/>
    <w:rsid w:val="00623860"/>
    <w:rsid w:val="006239DB"/>
    <w:rsid w:val="00624E97"/>
    <w:rsid w:val="00626925"/>
    <w:rsid w:val="00626DA2"/>
    <w:rsid w:val="00626EA2"/>
    <w:rsid w:val="0062753B"/>
    <w:rsid w:val="00627AB6"/>
    <w:rsid w:val="00627B91"/>
    <w:rsid w:val="0063068B"/>
    <w:rsid w:val="00630741"/>
    <w:rsid w:val="006315C0"/>
    <w:rsid w:val="0063243E"/>
    <w:rsid w:val="00632680"/>
    <w:rsid w:val="00632BAF"/>
    <w:rsid w:val="00632CF6"/>
    <w:rsid w:val="00633143"/>
    <w:rsid w:val="00633267"/>
    <w:rsid w:val="00633823"/>
    <w:rsid w:val="00633CA7"/>
    <w:rsid w:val="00634128"/>
    <w:rsid w:val="00634303"/>
    <w:rsid w:val="00634542"/>
    <w:rsid w:val="006363D4"/>
    <w:rsid w:val="00637138"/>
    <w:rsid w:val="006378EB"/>
    <w:rsid w:val="00637DD5"/>
    <w:rsid w:val="00640E9A"/>
    <w:rsid w:val="0064101A"/>
    <w:rsid w:val="00641BBB"/>
    <w:rsid w:val="00641BEA"/>
    <w:rsid w:val="006422C1"/>
    <w:rsid w:val="00642DD4"/>
    <w:rsid w:val="00643A08"/>
    <w:rsid w:val="0064402A"/>
    <w:rsid w:val="00644400"/>
    <w:rsid w:val="006446AE"/>
    <w:rsid w:val="00645005"/>
    <w:rsid w:val="006458B4"/>
    <w:rsid w:val="00646196"/>
    <w:rsid w:val="0064622D"/>
    <w:rsid w:val="0064643B"/>
    <w:rsid w:val="006471E5"/>
    <w:rsid w:val="006472DB"/>
    <w:rsid w:val="00650449"/>
    <w:rsid w:val="00650827"/>
    <w:rsid w:val="006508EC"/>
    <w:rsid w:val="0065095A"/>
    <w:rsid w:val="00650B2D"/>
    <w:rsid w:val="00651B0B"/>
    <w:rsid w:val="00651E87"/>
    <w:rsid w:val="00651EAC"/>
    <w:rsid w:val="006521C3"/>
    <w:rsid w:val="006523AC"/>
    <w:rsid w:val="00652611"/>
    <w:rsid w:val="00653970"/>
    <w:rsid w:val="00653C99"/>
    <w:rsid w:val="00653D9C"/>
    <w:rsid w:val="0065471A"/>
    <w:rsid w:val="0065476B"/>
    <w:rsid w:val="006549D2"/>
    <w:rsid w:val="006557B8"/>
    <w:rsid w:val="00655BB4"/>
    <w:rsid w:val="0065679C"/>
    <w:rsid w:val="00656A0C"/>
    <w:rsid w:val="0065766E"/>
    <w:rsid w:val="006628DB"/>
    <w:rsid w:val="00662979"/>
    <w:rsid w:val="0066302C"/>
    <w:rsid w:val="006644CA"/>
    <w:rsid w:val="0066553C"/>
    <w:rsid w:val="006658DA"/>
    <w:rsid w:val="00666AAF"/>
    <w:rsid w:val="00666BA0"/>
    <w:rsid w:val="00667D30"/>
    <w:rsid w:val="0067046D"/>
    <w:rsid w:val="0067101B"/>
    <w:rsid w:val="00671BFA"/>
    <w:rsid w:val="0067243E"/>
    <w:rsid w:val="0067307D"/>
    <w:rsid w:val="0067356C"/>
    <w:rsid w:val="00673B5B"/>
    <w:rsid w:val="0067416B"/>
    <w:rsid w:val="006743E9"/>
    <w:rsid w:val="006746C6"/>
    <w:rsid w:val="00674BEB"/>
    <w:rsid w:val="00677CBB"/>
    <w:rsid w:val="00680877"/>
    <w:rsid w:val="00680965"/>
    <w:rsid w:val="00680E38"/>
    <w:rsid w:val="00681185"/>
    <w:rsid w:val="00681BD9"/>
    <w:rsid w:val="00682351"/>
    <w:rsid w:val="00682991"/>
    <w:rsid w:val="00682A85"/>
    <w:rsid w:val="00682B40"/>
    <w:rsid w:val="006836A0"/>
    <w:rsid w:val="006840AD"/>
    <w:rsid w:val="00684CF2"/>
    <w:rsid w:val="006853C0"/>
    <w:rsid w:val="006853E2"/>
    <w:rsid w:val="00685736"/>
    <w:rsid w:val="00686E15"/>
    <w:rsid w:val="00686E86"/>
    <w:rsid w:val="00686FAA"/>
    <w:rsid w:val="00687CD0"/>
    <w:rsid w:val="00690994"/>
    <w:rsid w:val="006915AF"/>
    <w:rsid w:val="006919C4"/>
    <w:rsid w:val="00692489"/>
    <w:rsid w:val="00692A74"/>
    <w:rsid w:val="00693549"/>
    <w:rsid w:val="00693FDA"/>
    <w:rsid w:val="00694199"/>
    <w:rsid w:val="00694845"/>
    <w:rsid w:val="00696427"/>
    <w:rsid w:val="00697884"/>
    <w:rsid w:val="00697D4A"/>
    <w:rsid w:val="006A0635"/>
    <w:rsid w:val="006A0B9E"/>
    <w:rsid w:val="006A0CC4"/>
    <w:rsid w:val="006A14BA"/>
    <w:rsid w:val="006A1A78"/>
    <w:rsid w:val="006A20B6"/>
    <w:rsid w:val="006A2CAE"/>
    <w:rsid w:val="006A305D"/>
    <w:rsid w:val="006A310D"/>
    <w:rsid w:val="006A3BA3"/>
    <w:rsid w:val="006A3BC9"/>
    <w:rsid w:val="006A4165"/>
    <w:rsid w:val="006A41E4"/>
    <w:rsid w:val="006A63A2"/>
    <w:rsid w:val="006A656F"/>
    <w:rsid w:val="006A658D"/>
    <w:rsid w:val="006A6943"/>
    <w:rsid w:val="006B030E"/>
    <w:rsid w:val="006B0344"/>
    <w:rsid w:val="006B0506"/>
    <w:rsid w:val="006B0834"/>
    <w:rsid w:val="006B088D"/>
    <w:rsid w:val="006B1000"/>
    <w:rsid w:val="006B1203"/>
    <w:rsid w:val="006B1569"/>
    <w:rsid w:val="006B18B2"/>
    <w:rsid w:val="006B300A"/>
    <w:rsid w:val="006B3E48"/>
    <w:rsid w:val="006B47D4"/>
    <w:rsid w:val="006B4F27"/>
    <w:rsid w:val="006B5121"/>
    <w:rsid w:val="006B56AE"/>
    <w:rsid w:val="006B5DD5"/>
    <w:rsid w:val="006B67BA"/>
    <w:rsid w:val="006B6D8C"/>
    <w:rsid w:val="006B72D6"/>
    <w:rsid w:val="006B7955"/>
    <w:rsid w:val="006B79FE"/>
    <w:rsid w:val="006B7A44"/>
    <w:rsid w:val="006C0815"/>
    <w:rsid w:val="006C0B0D"/>
    <w:rsid w:val="006C269E"/>
    <w:rsid w:val="006C2BEC"/>
    <w:rsid w:val="006C3944"/>
    <w:rsid w:val="006C57CD"/>
    <w:rsid w:val="006C594B"/>
    <w:rsid w:val="006C60F7"/>
    <w:rsid w:val="006C628F"/>
    <w:rsid w:val="006C69BE"/>
    <w:rsid w:val="006C69E1"/>
    <w:rsid w:val="006C6E8F"/>
    <w:rsid w:val="006D025A"/>
    <w:rsid w:val="006D1A27"/>
    <w:rsid w:val="006D246B"/>
    <w:rsid w:val="006D3348"/>
    <w:rsid w:val="006D3C5D"/>
    <w:rsid w:val="006D424D"/>
    <w:rsid w:val="006D5BEF"/>
    <w:rsid w:val="006D6766"/>
    <w:rsid w:val="006D7C60"/>
    <w:rsid w:val="006E1B09"/>
    <w:rsid w:val="006E2AB7"/>
    <w:rsid w:val="006E2EC1"/>
    <w:rsid w:val="006E36A0"/>
    <w:rsid w:val="006E41A8"/>
    <w:rsid w:val="006E4560"/>
    <w:rsid w:val="006E486D"/>
    <w:rsid w:val="006E49AB"/>
    <w:rsid w:val="006E4A37"/>
    <w:rsid w:val="006E57D0"/>
    <w:rsid w:val="006E5D4B"/>
    <w:rsid w:val="006E6170"/>
    <w:rsid w:val="006E68C7"/>
    <w:rsid w:val="006E6FC6"/>
    <w:rsid w:val="006F06D1"/>
    <w:rsid w:val="006F2A5A"/>
    <w:rsid w:val="006F34E9"/>
    <w:rsid w:val="006F3D78"/>
    <w:rsid w:val="006F4300"/>
    <w:rsid w:val="006F46B0"/>
    <w:rsid w:val="006F4D16"/>
    <w:rsid w:val="006F4DBA"/>
    <w:rsid w:val="006F4EA8"/>
    <w:rsid w:val="006F5075"/>
    <w:rsid w:val="006F63B2"/>
    <w:rsid w:val="006F6D0D"/>
    <w:rsid w:val="006F6E51"/>
    <w:rsid w:val="006F72C4"/>
    <w:rsid w:val="006F7A73"/>
    <w:rsid w:val="006F7AD2"/>
    <w:rsid w:val="00701AE0"/>
    <w:rsid w:val="0070210A"/>
    <w:rsid w:val="007026B0"/>
    <w:rsid w:val="007045FC"/>
    <w:rsid w:val="00705A5B"/>
    <w:rsid w:val="00705E8D"/>
    <w:rsid w:val="00706D56"/>
    <w:rsid w:val="007072AF"/>
    <w:rsid w:val="00707524"/>
    <w:rsid w:val="007077C9"/>
    <w:rsid w:val="00707B6C"/>
    <w:rsid w:val="00707B7C"/>
    <w:rsid w:val="00707D72"/>
    <w:rsid w:val="00707FD4"/>
    <w:rsid w:val="007101C6"/>
    <w:rsid w:val="00710B43"/>
    <w:rsid w:val="00710E2C"/>
    <w:rsid w:val="00711488"/>
    <w:rsid w:val="00711EF4"/>
    <w:rsid w:val="007120B6"/>
    <w:rsid w:val="00712194"/>
    <w:rsid w:val="00712AF7"/>
    <w:rsid w:val="00713567"/>
    <w:rsid w:val="00713D96"/>
    <w:rsid w:val="00713FA0"/>
    <w:rsid w:val="00714565"/>
    <w:rsid w:val="007151A3"/>
    <w:rsid w:val="007157A0"/>
    <w:rsid w:val="00715847"/>
    <w:rsid w:val="007178A7"/>
    <w:rsid w:val="00717C0A"/>
    <w:rsid w:val="00717E94"/>
    <w:rsid w:val="00717FD4"/>
    <w:rsid w:val="00721699"/>
    <w:rsid w:val="0072199F"/>
    <w:rsid w:val="00721A62"/>
    <w:rsid w:val="00721D80"/>
    <w:rsid w:val="00722EB8"/>
    <w:rsid w:val="0072396B"/>
    <w:rsid w:val="00723D25"/>
    <w:rsid w:val="007243D3"/>
    <w:rsid w:val="0072448D"/>
    <w:rsid w:val="00725410"/>
    <w:rsid w:val="00726F81"/>
    <w:rsid w:val="00727226"/>
    <w:rsid w:val="007272F2"/>
    <w:rsid w:val="007308CF"/>
    <w:rsid w:val="00730A8B"/>
    <w:rsid w:val="00731516"/>
    <w:rsid w:val="007315CB"/>
    <w:rsid w:val="00731954"/>
    <w:rsid w:val="00731F41"/>
    <w:rsid w:val="0073290D"/>
    <w:rsid w:val="00733383"/>
    <w:rsid w:val="00733792"/>
    <w:rsid w:val="007338D1"/>
    <w:rsid w:val="007339BD"/>
    <w:rsid w:val="00733A04"/>
    <w:rsid w:val="007341CC"/>
    <w:rsid w:val="00734799"/>
    <w:rsid w:val="0073541A"/>
    <w:rsid w:val="00735542"/>
    <w:rsid w:val="00735938"/>
    <w:rsid w:val="00735E61"/>
    <w:rsid w:val="007361C0"/>
    <w:rsid w:val="007366C0"/>
    <w:rsid w:val="0073701B"/>
    <w:rsid w:val="007374E2"/>
    <w:rsid w:val="0073767D"/>
    <w:rsid w:val="00740638"/>
    <w:rsid w:val="00740902"/>
    <w:rsid w:val="00741870"/>
    <w:rsid w:val="00741DE9"/>
    <w:rsid w:val="00742108"/>
    <w:rsid w:val="00742606"/>
    <w:rsid w:val="00742ACC"/>
    <w:rsid w:val="00743693"/>
    <w:rsid w:val="00743DA2"/>
    <w:rsid w:val="0074513A"/>
    <w:rsid w:val="00746799"/>
    <w:rsid w:val="00747532"/>
    <w:rsid w:val="00747841"/>
    <w:rsid w:val="007529DA"/>
    <w:rsid w:val="0075436E"/>
    <w:rsid w:val="007545AC"/>
    <w:rsid w:val="0075476A"/>
    <w:rsid w:val="00754E0C"/>
    <w:rsid w:val="00755F68"/>
    <w:rsid w:val="00756068"/>
    <w:rsid w:val="00756714"/>
    <w:rsid w:val="007607BB"/>
    <w:rsid w:val="00760FC2"/>
    <w:rsid w:val="00761522"/>
    <w:rsid w:val="00761C73"/>
    <w:rsid w:val="007627DA"/>
    <w:rsid w:val="00763696"/>
    <w:rsid w:val="007649A8"/>
    <w:rsid w:val="0076571E"/>
    <w:rsid w:val="00765AB9"/>
    <w:rsid w:val="00766444"/>
    <w:rsid w:val="00766B41"/>
    <w:rsid w:val="00771A8D"/>
    <w:rsid w:val="0077277C"/>
    <w:rsid w:val="00772842"/>
    <w:rsid w:val="00773460"/>
    <w:rsid w:val="00773D3A"/>
    <w:rsid w:val="00775BD3"/>
    <w:rsid w:val="00775BE9"/>
    <w:rsid w:val="007760B5"/>
    <w:rsid w:val="007765A1"/>
    <w:rsid w:val="007765D0"/>
    <w:rsid w:val="00776B62"/>
    <w:rsid w:val="0077708E"/>
    <w:rsid w:val="0077731E"/>
    <w:rsid w:val="00777AB7"/>
    <w:rsid w:val="00777C5B"/>
    <w:rsid w:val="0078008F"/>
    <w:rsid w:val="007807F6"/>
    <w:rsid w:val="0078172B"/>
    <w:rsid w:val="007820EF"/>
    <w:rsid w:val="007824D7"/>
    <w:rsid w:val="00782D0C"/>
    <w:rsid w:val="00783716"/>
    <w:rsid w:val="00784484"/>
    <w:rsid w:val="007844C7"/>
    <w:rsid w:val="00784FAC"/>
    <w:rsid w:val="00785802"/>
    <w:rsid w:val="0078642C"/>
    <w:rsid w:val="00787233"/>
    <w:rsid w:val="00787B71"/>
    <w:rsid w:val="00787CB6"/>
    <w:rsid w:val="00790BD9"/>
    <w:rsid w:val="00791DDE"/>
    <w:rsid w:val="00791F13"/>
    <w:rsid w:val="00792337"/>
    <w:rsid w:val="007923C9"/>
    <w:rsid w:val="00792E64"/>
    <w:rsid w:val="007939C5"/>
    <w:rsid w:val="007947C9"/>
    <w:rsid w:val="00795168"/>
    <w:rsid w:val="007966CF"/>
    <w:rsid w:val="007968D6"/>
    <w:rsid w:val="00796F60"/>
    <w:rsid w:val="00797FB0"/>
    <w:rsid w:val="007A008D"/>
    <w:rsid w:val="007A15AA"/>
    <w:rsid w:val="007A16E1"/>
    <w:rsid w:val="007A1E28"/>
    <w:rsid w:val="007A216F"/>
    <w:rsid w:val="007A21A8"/>
    <w:rsid w:val="007A264B"/>
    <w:rsid w:val="007A2843"/>
    <w:rsid w:val="007A2EF2"/>
    <w:rsid w:val="007A3593"/>
    <w:rsid w:val="007A3EB6"/>
    <w:rsid w:val="007A50CC"/>
    <w:rsid w:val="007A6AAF"/>
    <w:rsid w:val="007A6DDA"/>
    <w:rsid w:val="007A6F75"/>
    <w:rsid w:val="007A75E4"/>
    <w:rsid w:val="007A7ABB"/>
    <w:rsid w:val="007A7B49"/>
    <w:rsid w:val="007B01B5"/>
    <w:rsid w:val="007B09E5"/>
    <w:rsid w:val="007B0D03"/>
    <w:rsid w:val="007B0D0A"/>
    <w:rsid w:val="007B14A6"/>
    <w:rsid w:val="007B1D3E"/>
    <w:rsid w:val="007B1FAA"/>
    <w:rsid w:val="007B2067"/>
    <w:rsid w:val="007B2741"/>
    <w:rsid w:val="007B2748"/>
    <w:rsid w:val="007B2976"/>
    <w:rsid w:val="007B348D"/>
    <w:rsid w:val="007B3675"/>
    <w:rsid w:val="007B4302"/>
    <w:rsid w:val="007B43F4"/>
    <w:rsid w:val="007B553E"/>
    <w:rsid w:val="007B55BF"/>
    <w:rsid w:val="007B65AB"/>
    <w:rsid w:val="007B66FF"/>
    <w:rsid w:val="007B6A13"/>
    <w:rsid w:val="007B6F41"/>
    <w:rsid w:val="007B77C1"/>
    <w:rsid w:val="007B78AA"/>
    <w:rsid w:val="007B78BC"/>
    <w:rsid w:val="007C06C1"/>
    <w:rsid w:val="007C08A6"/>
    <w:rsid w:val="007C0916"/>
    <w:rsid w:val="007C09FA"/>
    <w:rsid w:val="007C1933"/>
    <w:rsid w:val="007C1AB7"/>
    <w:rsid w:val="007C1CF6"/>
    <w:rsid w:val="007C1D40"/>
    <w:rsid w:val="007C2357"/>
    <w:rsid w:val="007C3986"/>
    <w:rsid w:val="007C4108"/>
    <w:rsid w:val="007C4619"/>
    <w:rsid w:val="007C46B4"/>
    <w:rsid w:val="007C5E8E"/>
    <w:rsid w:val="007C6BCC"/>
    <w:rsid w:val="007C6FCD"/>
    <w:rsid w:val="007C71DC"/>
    <w:rsid w:val="007C73A6"/>
    <w:rsid w:val="007D0245"/>
    <w:rsid w:val="007D0597"/>
    <w:rsid w:val="007D06EE"/>
    <w:rsid w:val="007D0933"/>
    <w:rsid w:val="007D1C4D"/>
    <w:rsid w:val="007D27B0"/>
    <w:rsid w:val="007D2E4A"/>
    <w:rsid w:val="007D3579"/>
    <w:rsid w:val="007D3B9F"/>
    <w:rsid w:val="007D46ED"/>
    <w:rsid w:val="007D5297"/>
    <w:rsid w:val="007D5955"/>
    <w:rsid w:val="007D5BB6"/>
    <w:rsid w:val="007D65CF"/>
    <w:rsid w:val="007D66E5"/>
    <w:rsid w:val="007D6F64"/>
    <w:rsid w:val="007D72BF"/>
    <w:rsid w:val="007D7375"/>
    <w:rsid w:val="007D7875"/>
    <w:rsid w:val="007D7926"/>
    <w:rsid w:val="007D79C8"/>
    <w:rsid w:val="007D7E9C"/>
    <w:rsid w:val="007E00D5"/>
    <w:rsid w:val="007E07B0"/>
    <w:rsid w:val="007E100C"/>
    <w:rsid w:val="007E13FC"/>
    <w:rsid w:val="007E197F"/>
    <w:rsid w:val="007E2D6D"/>
    <w:rsid w:val="007E4960"/>
    <w:rsid w:val="007E4CA9"/>
    <w:rsid w:val="007E51AB"/>
    <w:rsid w:val="007E5B88"/>
    <w:rsid w:val="007E6ED4"/>
    <w:rsid w:val="007E7A7B"/>
    <w:rsid w:val="007F02A2"/>
    <w:rsid w:val="007F0315"/>
    <w:rsid w:val="007F165C"/>
    <w:rsid w:val="007F198F"/>
    <w:rsid w:val="007F33C0"/>
    <w:rsid w:val="007F3AC0"/>
    <w:rsid w:val="007F3B9B"/>
    <w:rsid w:val="007F5B37"/>
    <w:rsid w:val="007F63CD"/>
    <w:rsid w:val="007F6775"/>
    <w:rsid w:val="007F7442"/>
    <w:rsid w:val="007F7ADC"/>
    <w:rsid w:val="007F7D11"/>
    <w:rsid w:val="007F7EB8"/>
    <w:rsid w:val="008001CE"/>
    <w:rsid w:val="008003B7"/>
    <w:rsid w:val="008010B3"/>
    <w:rsid w:val="00802F61"/>
    <w:rsid w:val="008032AD"/>
    <w:rsid w:val="00803331"/>
    <w:rsid w:val="00803E3A"/>
    <w:rsid w:val="00803EE5"/>
    <w:rsid w:val="00803FE8"/>
    <w:rsid w:val="00804101"/>
    <w:rsid w:val="00804EA3"/>
    <w:rsid w:val="008055CF"/>
    <w:rsid w:val="00805B1E"/>
    <w:rsid w:val="00806241"/>
    <w:rsid w:val="008067B5"/>
    <w:rsid w:val="00806999"/>
    <w:rsid w:val="008079A1"/>
    <w:rsid w:val="008104ED"/>
    <w:rsid w:val="008112D0"/>
    <w:rsid w:val="008112EE"/>
    <w:rsid w:val="00812A81"/>
    <w:rsid w:val="0081380C"/>
    <w:rsid w:val="008139F3"/>
    <w:rsid w:val="00814404"/>
    <w:rsid w:val="00814ABD"/>
    <w:rsid w:val="00814CFC"/>
    <w:rsid w:val="00814EE5"/>
    <w:rsid w:val="008150D4"/>
    <w:rsid w:val="0081513F"/>
    <w:rsid w:val="00815524"/>
    <w:rsid w:val="008155A5"/>
    <w:rsid w:val="008164F4"/>
    <w:rsid w:val="008168D8"/>
    <w:rsid w:val="0081702F"/>
    <w:rsid w:val="00817439"/>
    <w:rsid w:val="00817EC7"/>
    <w:rsid w:val="00817F2B"/>
    <w:rsid w:val="00820CF5"/>
    <w:rsid w:val="008221D0"/>
    <w:rsid w:val="00822BCF"/>
    <w:rsid w:val="00822C07"/>
    <w:rsid w:val="00822D9E"/>
    <w:rsid w:val="00824472"/>
    <w:rsid w:val="00824CD1"/>
    <w:rsid w:val="00826217"/>
    <w:rsid w:val="00826A79"/>
    <w:rsid w:val="00830C8D"/>
    <w:rsid w:val="00830EC0"/>
    <w:rsid w:val="00832341"/>
    <w:rsid w:val="00832BD4"/>
    <w:rsid w:val="00832C5E"/>
    <w:rsid w:val="0083397E"/>
    <w:rsid w:val="00833AE3"/>
    <w:rsid w:val="008348FA"/>
    <w:rsid w:val="00835544"/>
    <w:rsid w:val="00836175"/>
    <w:rsid w:val="00836603"/>
    <w:rsid w:val="00836843"/>
    <w:rsid w:val="008377B0"/>
    <w:rsid w:val="00840448"/>
    <w:rsid w:val="00840F05"/>
    <w:rsid w:val="00841E05"/>
    <w:rsid w:val="008429FE"/>
    <w:rsid w:val="00842CE9"/>
    <w:rsid w:val="00843242"/>
    <w:rsid w:val="00843315"/>
    <w:rsid w:val="00843358"/>
    <w:rsid w:val="00844927"/>
    <w:rsid w:val="00844B2E"/>
    <w:rsid w:val="00844C78"/>
    <w:rsid w:val="00845CBB"/>
    <w:rsid w:val="00846157"/>
    <w:rsid w:val="00846F98"/>
    <w:rsid w:val="008474B6"/>
    <w:rsid w:val="008476AA"/>
    <w:rsid w:val="00850383"/>
    <w:rsid w:val="0085117D"/>
    <w:rsid w:val="0085191D"/>
    <w:rsid w:val="00852456"/>
    <w:rsid w:val="008539F6"/>
    <w:rsid w:val="00854865"/>
    <w:rsid w:val="00854E7D"/>
    <w:rsid w:val="00854F49"/>
    <w:rsid w:val="00855ADA"/>
    <w:rsid w:val="00855B35"/>
    <w:rsid w:val="0085600D"/>
    <w:rsid w:val="00856703"/>
    <w:rsid w:val="00856FD0"/>
    <w:rsid w:val="008572C8"/>
    <w:rsid w:val="00857E22"/>
    <w:rsid w:val="0086002B"/>
    <w:rsid w:val="008612C3"/>
    <w:rsid w:val="00861A62"/>
    <w:rsid w:val="008621AD"/>
    <w:rsid w:val="00862FDD"/>
    <w:rsid w:val="00863D2D"/>
    <w:rsid w:val="008644BE"/>
    <w:rsid w:val="008647A4"/>
    <w:rsid w:val="008648E0"/>
    <w:rsid w:val="00864A93"/>
    <w:rsid w:val="00864AC9"/>
    <w:rsid w:val="00864F7E"/>
    <w:rsid w:val="00865897"/>
    <w:rsid w:val="00865A6C"/>
    <w:rsid w:val="00865C2D"/>
    <w:rsid w:val="00865E82"/>
    <w:rsid w:val="00866D38"/>
    <w:rsid w:val="0086755C"/>
    <w:rsid w:val="0086764A"/>
    <w:rsid w:val="008679A5"/>
    <w:rsid w:val="00867B4D"/>
    <w:rsid w:val="00870140"/>
    <w:rsid w:val="00870D98"/>
    <w:rsid w:val="00870FB4"/>
    <w:rsid w:val="0087128C"/>
    <w:rsid w:val="008712BF"/>
    <w:rsid w:val="0087224F"/>
    <w:rsid w:val="00873490"/>
    <w:rsid w:val="00873925"/>
    <w:rsid w:val="00875CD9"/>
    <w:rsid w:val="00876D6E"/>
    <w:rsid w:val="00877AE7"/>
    <w:rsid w:val="00877D77"/>
    <w:rsid w:val="00880CF9"/>
    <w:rsid w:val="00882200"/>
    <w:rsid w:val="00883D2B"/>
    <w:rsid w:val="008851EF"/>
    <w:rsid w:val="00885CB3"/>
    <w:rsid w:val="008862B7"/>
    <w:rsid w:val="008865F2"/>
    <w:rsid w:val="00886A66"/>
    <w:rsid w:val="0089052B"/>
    <w:rsid w:val="00890BD4"/>
    <w:rsid w:val="00890FC3"/>
    <w:rsid w:val="00893242"/>
    <w:rsid w:val="00893B0D"/>
    <w:rsid w:val="008954A9"/>
    <w:rsid w:val="00895668"/>
    <w:rsid w:val="00896EC0"/>
    <w:rsid w:val="00896F51"/>
    <w:rsid w:val="008A05C3"/>
    <w:rsid w:val="008A0D4E"/>
    <w:rsid w:val="008A1639"/>
    <w:rsid w:val="008A1CD1"/>
    <w:rsid w:val="008A254D"/>
    <w:rsid w:val="008A3FD2"/>
    <w:rsid w:val="008A50CC"/>
    <w:rsid w:val="008A57B7"/>
    <w:rsid w:val="008A5F9C"/>
    <w:rsid w:val="008A6141"/>
    <w:rsid w:val="008A759D"/>
    <w:rsid w:val="008A7C63"/>
    <w:rsid w:val="008B1562"/>
    <w:rsid w:val="008B1B3D"/>
    <w:rsid w:val="008B23D6"/>
    <w:rsid w:val="008B2997"/>
    <w:rsid w:val="008B2A54"/>
    <w:rsid w:val="008B2F64"/>
    <w:rsid w:val="008B335F"/>
    <w:rsid w:val="008B4254"/>
    <w:rsid w:val="008B4C66"/>
    <w:rsid w:val="008B599A"/>
    <w:rsid w:val="008B5AD5"/>
    <w:rsid w:val="008B6154"/>
    <w:rsid w:val="008B6551"/>
    <w:rsid w:val="008B66B8"/>
    <w:rsid w:val="008B6957"/>
    <w:rsid w:val="008B6D44"/>
    <w:rsid w:val="008B7102"/>
    <w:rsid w:val="008B775D"/>
    <w:rsid w:val="008B7976"/>
    <w:rsid w:val="008B7DB6"/>
    <w:rsid w:val="008C13CF"/>
    <w:rsid w:val="008C1DEF"/>
    <w:rsid w:val="008C4D0C"/>
    <w:rsid w:val="008C61E8"/>
    <w:rsid w:val="008C71CB"/>
    <w:rsid w:val="008C760D"/>
    <w:rsid w:val="008C7E29"/>
    <w:rsid w:val="008C7EA1"/>
    <w:rsid w:val="008D00B2"/>
    <w:rsid w:val="008D0D0E"/>
    <w:rsid w:val="008D12FD"/>
    <w:rsid w:val="008D1C40"/>
    <w:rsid w:val="008D2008"/>
    <w:rsid w:val="008D21D1"/>
    <w:rsid w:val="008D3A85"/>
    <w:rsid w:val="008D4C0A"/>
    <w:rsid w:val="008D4CA4"/>
    <w:rsid w:val="008D5A9D"/>
    <w:rsid w:val="008D62A9"/>
    <w:rsid w:val="008D64C1"/>
    <w:rsid w:val="008D6E48"/>
    <w:rsid w:val="008D756B"/>
    <w:rsid w:val="008E0853"/>
    <w:rsid w:val="008E1610"/>
    <w:rsid w:val="008E1750"/>
    <w:rsid w:val="008E2931"/>
    <w:rsid w:val="008E2FB9"/>
    <w:rsid w:val="008E538F"/>
    <w:rsid w:val="008E5D59"/>
    <w:rsid w:val="008E6B95"/>
    <w:rsid w:val="008E7170"/>
    <w:rsid w:val="008E74D2"/>
    <w:rsid w:val="008E7755"/>
    <w:rsid w:val="008E7AAC"/>
    <w:rsid w:val="008E7E4B"/>
    <w:rsid w:val="008F040F"/>
    <w:rsid w:val="008F0F19"/>
    <w:rsid w:val="008F1C58"/>
    <w:rsid w:val="008F2254"/>
    <w:rsid w:val="008F3D6E"/>
    <w:rsid w:val="008F47B3"/>
    <w:rsid w:val="008F4C7E"/>
    <w:rsid w:val="008F584E"/>
    <w:rsid w:val="008F5A9F"/>
    <w:rsid w:val="008F7D60"/>
    <w:rsid w:val="0090055F"/>
    <w:rsid w:val="00900E56"/>
    <w:rsid w:val="00902BD6"/>
    <w:rsid w:val="00903F9B"/>
    <w:rsid w:val="00904898"/>
    <w:rsid w:val="00905865"/>
    <w:rsid w:val="009059FB"/>
    <w:rsid w:val="009060D6"/>
    <w:rsid w:val="0090647F"/>
    <w:rsid w:val="00906F00"/>
    <w:rsid w:val="0090710F"/>
    <w:rsid w:val="0091245F"/>
    <w:rsid w:val="009125C3"/>
    <w:rsid w:val="009130D1"/>
    <w:rsid w:val="00913E0C"/>
    <w:rsid w:val="009145F1"/>
    <w:rsid w:val="00914853"/>
    <w:rsid w:val="009149F6"/>
    <w:rsid w:val="00915A0F"/>
    <w:rsid w:val="009166EB"/>
    <w:rsid w:val="00916C97"/>
    <w:rsid w:val="00917756"/>
    <w:rsid w:val="00917FCC"/>
    <w:rsid w:val="009200EA"/>
    <w:rsid w:val="00920390"/>
    <w:rsid w:val="009205F9"/>
    <w:rsid w:val="00920716"/>
    <w:rsid w:val="0092095E"/>
    <w:rsid w:val="00920D7C"/>
    <w:rsid w:val="00923A3D"/>
    <w:rsid w:val="0092608E"/>
    <w:rsid w:val="009267DB"/>
    <w:rsid w:val="00926C67"/>
    <w:rsid w:val="00926C8F"/>
    <w:rsid w:val="009275F6"/>
    <w:rsid w:val="00927C31"/>
    <w:rsid w:val="00930669"/>
    <w:rsid w:val="0093091A"/>
    <w:rsid w:val="00931A2E"/>
    <w:rsid w:val="009323F8"/>
    <w:rsid w:val="00932EDC"/>
    <w:rsid w:val="00933DD1"/>
    <w:rsid w:val="00934099"/>
    <w:rsid w:val="009343F9"/>
    <w:rsid w:val="00934836"/>
    <w:rsid w:val="00934B68"/>
    <w:rsid w:val="00935F81"/>
    <w:rsid w:val="009366E5"/>
    <w:rsid w:val="009369E1"/>
    <w:rsid w:val="00936EB8"/>
    <w:rsid w:val="00937046"/>
    <w:rsid w:val="009374EC"/>
    <w:rsid w:val="00937621"/>
    <w:rsid w:val="00940196"/>
    <w:rsid w:val="00940B95"/>
    <w:rsid w:val="0094179F"/>
    <w:rsid w:val="00942251"/>
    <w:rsid w:val="0094250A"/>
    <w:rsid w:val="0094266C"/>
    <w:rsid w:val="0094267C"/>
    <w:rsid w:val="0094271E"/>
    <w:rsid w:val="009446D2"/>
    <w:rsid w:val="00944764"/>
    <w:rsid w:val="0094571E"/>
    <w:rsid w:val="00945722"/>
    <w:rsid w:val="00947066"/>
    <w:rsid w:val="009519FE"/>
    <w:rsid w:val="009528AB"/>
    <w:rsid w:val="00953B70"/>
    <w:rsid w:val="00954021"/>
    <w:rsid w:val="00954351"/>
    <w:rsid w:val="00955BF3"/>
    <w:rsid w:val="00956004"/>
    <w:rsid w:val="009564E5"/>
    <w:rsid w:val="00957091"/>
    <w:rsid w:val="009570BE"/>
    <w:rsid w:val="00961001"/>
    <w:rsid w:val="009612E6"/>
    <w:rsid w:val="009612E7"/>
    <w:rsid w:val="00962183"/>
    <w:rsid w:val="00964D5F"/>
    <w:rsid w:val="009656B0"/>
    <w:rsid w:val="009657D7"/>
    <w:rsid w:val="00965EBD"/>
    <w:rsid w:val="0096615D"/>
    <w:rsid w:val="0096664B"/>
    <w:rsid w:val="00966F8D"/>
    <w:rsid w:val="00967D01"/>
    <w:rsid w:val="0097022B"/>
    <w:rsid w:val="00970579"/>
    <w:rsid w:val="0097071C"/>
    <w:rsid w:val="00970790"/>
    <w:rsid w:val="009708DE"/>
    <w:rsid w:val="00971733"/>
    <w:rsid w:val="00972908"/>
    <w:rsid w:val="009733FE"/>
    <w:rsid w:val="00973A8D"/>
    <w:rsid w:val="00973F82"/>
    <w:rsid w:val="0097450E"/>
    <w:rsid w:val="00974545"/>
    <w:rsid w:val="00974C1D"/>
    <w:rsid w:val="00976E85"/>
    <w:rsid w:val="00977761"/>
    <w:rsid w:val="00977879"/>
    <w:rsid w:val="00980D1D"/>
    <w:rsid w:val="00980DCC"/>
    <w:rsid w:val="00980E8D"/>
    <w:rsid w:val="00980F4F"/>
    <w:rsid w:val="009811D2"/>
    <w:rsid w:val="0098188E"/>
    <w:rsid w:val="0098192F"/>
    <w:rsid w:val="00981CA3"/>
    <w:rsid w:val="00982A92"/>
    <w:rsid w:val="0098319A"/>
    <w:rsid w:val="00983D77"/>
    <w:rsid w:val="00984BC3"/>
    <w:rsid w:val="00985638"/>
    <w:rsid w:val="00985C64"/>
    <w:rsid w:val="009870C8"/>
    <w:rsid w:val="00991A97"/>
    <w:rsid w:val="00991BDB"/>
    <w:rsid w:val="00991C93"/>
    <w:rsid w:val="009920C1"/>
    <w:rsid w:val="00993468"/>
    <w:rsid w:val="0099351E"/>
    <w:rsid w:val="0099473F"/>
    <w:rsid w:val="00994BE5"/>
    <w:rsid w:val="00994BF2"/>
    <w:rsid w:val="00995835"/>
    <w:rsid w:val="00995E42"/>
    <w:rsid w:val="00996450"/>
    <w:rsid w:val="00997303"/>
    <w:rsid w:val="00997381"/>
    <w:rsid w:val="009974BD"/>
    <w:rsid w:val="00997B89"/>
    <w:rsid w:val="009A03E7"/>
    <w:rsid w:val="009A077F"/>
    <w:rsid w:val="009A0B97"/>
    <w:rsid w:val="009A285E"/>
    <w:rsid w:val="009A2EF8"/>
    <w:rsid w:val="009A32C8"/>
    <w:rsid w:val="009A353F"/>
    <w:rsid w:val="009A47B8"/>
    <w:rsid w:val="009A4D06"/>
    <w:rsid w:val="009A5471"/>
    <w:rsid w:val="009A6A01"/>
    <w:rsid w:val="009A6BBD"/>
    <w:rsid w:val="009A746A"/>
    <w:rsid w:val="009A76BE"/>
    <w:rsid w:val="009B074A"/>
    <w:rsid w:val="009B079A"/>
    <w:rsid w:val="009B079D"/>
    <w:rsid w:val="009B0A84"/>
    <w:rsid w:val="009B0C1F"/>
    <w:rsid w:val="009B1500"/>
    <w:rsid w:val="009B16E6"/>
    <w:rsid w:val="009B1806"/>
    <w:rsid w:val="009B241C"/>
    <w:rsid w:val="009B2DFE"/>
    <w:rsid w:val="009B306F"/>
    <w:rsid w:val="009B496C"/>
    <w:rsid w:val="009B5204"/>
    <w:rsid w:val="009B56BF"/>
    <w:rsid w:val="009B6235"/>
    <w:rsid w:val="009C11A8"/>
    <w:rsid w:val="009C2143"/>
    <w:rsid w:val="009C2992"/>
    <w:rsid w:val="009C310D"/>
    <w:rsid w:val="009C3201"/>
    <w:rsid w:val="009C3450"/>
    <w:rsid w:val="009C396A"/>
    <w:rsid w:val="009C3DD0"/>
    <w:rsid w:val="009C40EE"/>
    <w:rsid w:val="009C4732"/>
    <w:rsid w:val="009C4C22"/>
    <w:rsid w:val="009C5381"/>
    <w:rsid w:val="009C539F"/>
    <w:rsid w:val="009C5A65"/>
    <w:rsid w:val="009C67B4"/>
    <w:rsid w:val="009C7720"/>
    <w:rsid w:val="009C7B30"/>
    <w:rsid w:val="009C7E54"/>
    <w:rsid w:val="009D015F"/>
    <w:rsid w:val="009D0EAD"/>
    <w:rsid w:val="009D130E"/>
    <w:rsid w:val="009D17E7"/>
    <w:rsid w:val="009D2518"/>
    <w:rsid w:val="009D2E86"/>
    <w:rsid w:val="009D2E99"/>
    <w:rsid w:val="009D4E32"/>
    <w:rsid w:val="009D5A19"/>
    <w:rsid w:val="009D5F08"/>
    <w:rsid w:val="009D6618"/>
    <w:rsid w:val="009D6B06"/>
    <w:rsid w:val="009D6EDD"/>
    <w:rsid w:val="009D747D"/>
    <w:rsid w:val="009D764F"/>
    <w:rsid w:val="009D79D8"/>
    <w:rsid w:val="009E0699"/>
    <w:rsid w:val="009E0B92"/>
    <w:rsid w:val="009E374E"/>
    <w:rsid w:val="009E508A"/>
    <w:rsid w:val="009E546F"/>
    <w:rsid w:val="009E604B"/>
    <w:rsid w:val="009E699E"/>
    <w:rsid w:val="009E7A6C"/>
    <w:rsid w:val="009F0538"/>
    <w:rsid w:val="009F06B6"/>
    <w:rsid w:val="009F1A8E"/>
    <w:rsid w:val="009F1B47"/>
    <w:rsid w:val="009F1CB1"/>
    <w:rsid w:val="009F1E41"/>
    <w:rsid w:val="009F277B"/>
    <w:rsid w:val="009F2C86"/>
    <w:rsid w:val="009F30C4"/>
    <w:rsid w:val="009F3413"/>
    <w:rsid w:val="009F3A72"/>
    <w:rsid w:val="009F3DCF"/>
    <w:rsid w:val="009F3E6B"/>
    <w:rsid w:val="009F430F"/>
    <w:rsid w:val="009F4852"/>
    <w:rsid w:val="009F4BFA"/>
    <w:rsid w:val="009F5977"/>
    <w:rsid w:val="009F5B36"/>
    <w:rsid w:val="009F7073"/>
    <w:rsid w:val="009F7279"/>
    <w:rsid w:val="009F7C62"/>
    <w:rsid w:val="00A00A88"/>
    <w:rsid w:val="00A00EFB"/>
    <w:rsid w:val="00A02023"/>
    <w:rsid w:val="00A04056"/>
    <w:rsid w:val="00A042FC"/>
    <w:rsid w:val="00A0552F"/>
    <w:rsid w:val="00A07170"/>
    <w:rsid w:val="00A07397"/>
    <w:rsid w:val="00A077EF"/>
    <w:rsid w:val="00A1049B"/>
    <w:rsid w:val="00A11B07"/>
    <w:rsid w:val="00A11BA8"/>
    <w:rsid w:val="00A11CAC"/>
    <w:rsid w:val="00A1248D"/>
    <w:rsid w:val="00A126C2"/>
    <w:rsid w:val="00A138FA"/>
    <w:rsid w:val="00A13967"/>
    <w:rsid w:val="00A1484F"/>
    <w:rsid w:val="00A15977"/>
    <w:rsid w:val="00A1632A"/>
    <w:rsid w:val="00A17F5D"/>
    <w:rsid w:val="00A201CB"/>
    <w:rsid w:val="00A202AD"/>
    <w:rsid w:val="00A21FE3"/>
    <w:rsid w:val="00A22DCA"/>
    <w:rsid w:val="00A23303"/>
    <w:rsid w:val="00A24021"/>
    <w:rsid w:val="00A25653"/>
    <w:rsid w:val="00A2591F"/>
    <w:rsid w:val="00A2613A"/>
    <w:rsid w:val="00A26205"/>
    <w:rsid w:val="00A2640B"/>
    <w:rsid w:val="00A26556"/>
    <w:rsid w:val="00A26571"/>
    <w:rsid w:val="00A3041A"/>
    <w:rsid w:val="00A30AAC"/>
    <w:rsid w:val="00A311F6"/>
    <w:rsid w:val="00A31604"/>
    <w:rsid w:val="00A323A6"/>
    <w:rsid w:val="00A32CE9"/>
    <w:rsid w:val="00A33AE1"/>
    <w:rsid w:val="00A34189"/>
    <w:rsid w:val="00A3435D"/>
    <w:rsid w:val="00A351E8"/>
    <w:rsid w:val="00A36537"/>
    <w:rsid w:val="00A37192"/>
    <w:rsid w:val="00A37485"/>
    <w:rsid w:val="00A4037A"/>
    <w:rsid w:val="00A4093F"/>
    <w:rsid w:val="00A41F74"/>
    <w:rsid w:val="00A42DF5"/>
    <w:rsid w:val="00A42F1B"/>
    <w:rsid w:val="00A432C1"/>
    <w:rsid w:val="00A43652"/>
    <w:rsid w:val="00A439DD"/>
    <w:rsid w:val="00A44747"/>
    <w:rsid w:val="00A46904"/>
    <w:rsid w:val="00A47096"/>
    <w:rsid w:val="00A47215"/>
    <w:rsid w:val="00A472E8"/>
    <w:rsid w:val="00A47A32"/>
    <w:rsid w:val="00A5051F"/>
    <w:rsid w:val="00A50CB3"/>
    <w:rsid w:val="00A5215F"/>
    <w:rsid w:val="00A523C5"/>
    <w:rsid w:val="00A5374F"/>
    <w:rsid w:val="00A54ED7"/>
    <w:rsid w:val="00A5588E"/>
    <w:rsid w:val="00A56165"/>
    <w:rsid w:val="00A574F3"/>
    <w:rsid w:val="00A57811"/>
    <w:rsid w:val="00A60A9F"/>
    <w:rsid w:val="00A60B75"/>
    <w:rsid w:val="00A61449"/>
    <w:rsid w:val="00A61F25"/>
    <w:rsid w:val="00A62593"/>
    <w:rsid w:val="00A62C2D"/>
    <w:rsid w:val="00A63213"/>
    <w:rsid w:val="00A6455E"/>
    <w:rsid w:val="00A6468E"/>
    <w:rsid w:val="00A646D4"/>
    <w:rsid w:val="00A648CD"/>
    <w:rsid w:val="00A64CDA"/>
    <w:rsid w:val="00A64FCA"/>
    <w:rsid w:val="00A653E1"/>
    <w:rsid w:val="00A653F7"/>
    <w:rsid w:val="00A6577B"/>
    <w:rsid w:val="00A66975"/>
    <w:rsid w:val="00A66AC2"/>
    <w:rsid w:val="00A66BD6"/>
    <w:rsid w:val="00A66E39"/>
    <w:rsid w:val="00A6744F"/>
    <w:rsid w:val="00A678EC"/>
    <w:rsid w:val="00A701AD"/>
    <w:rsid w:val="00A7069B"/>
    <w:rsid w:val="00A70B85"/>
    <w:rsid w:val="00A710F0"/>
    <w:rsid w:val="00A71DE2"/>
    <w:rsid w:val="00A71F36"/>
    <w:rsid w:val="00A723B5"/>
    <w:rsid w:val="00A72E0C"/>
    <w:rsid w:val="00A7324F"/>
    <w:rsid w:val="00A736AB"/>
    <w:rsid w:val="00A747E8"/>
    <w:rsid w:val="00A764B8"/>
    <w:rsid w:val="00A76D25"/>
    <w:rsid w:val="00A772CB"/>
    <w:rsid w:val="00A77CD8"/>
    <w:rsid w:val="00A800FF"/>
    <w:rsid w:val="00A80A4B"/>
    <w:rsid w:val="00A8165A"/>
    <w:rsid w:val="00A81882"/>
    <w:rsid w:val="00A8357C"/>
    <w:rsid w:val="00A8391D"/>
    <w:rsid w:val="00A83F53"/>
    <w:rsid w:val="00A85002"/>
    <w:rsid w:val="00A85345"/>
    <w:rsid w:val="00A85917"/>
    <w:rsid w:val="00A85C5E"/>
    <w:rsid w:val="00A863F6"/>
    <w:rsid w:val="00A86B6F"/>
    <w:rsid w:val="00A877E7"/>
    <w:rsid w:val="00A87FA9"/>
    <w:rsid w:val="00A90227"/>
    <w:rsid w:val="00A92086"/>
    <w:rsid w:val="00A92627"/>
    <w:rsid w:val="00A92780"/>
    <w:rsid w:val="00A92E10"/>
    <w:rsid w:val="00A93944"/>
    <w:rsid w:val="00A93E6B"/>
    <w:rsid w:val="00A93EAE"/>
    <w:rsid w:val="00A940F6"/>
    <w:rsid w:val="00A94717"/>
    <w:rsid w:val="00A94724"/>
    <w:rsid w:val="00A94731"/>
    <w:rsid w:val="00A95056"/>
    <w:rsid w:val="00A9560E"/>
    <w:rsid w:val="00A95B27"/>
    <w:rsid w:val="00A95BB3"/>
    <w:rsid w:val="00A96F8B"/>
    <w:rsid w:val="00A97C42"/>
    <w:rsid w:val="00AA1719"/>
    <w:rsid w:val="00AA218F"/>
    <w:rsid w:val="00AA266C"/>
    <w:rsid w:val="00AA44BA"/>
    <w:rsid w:val="00AA44F6"/>
    <w:rsid w:val="00AA5344"/>
    <w:rsid w:val="00AA594E"/>
    <w:rsid w:val="00AA69B9"/>
    <w:rsid w:val="00AA708B"/>
    <w:rsid w:val="00AA7098"/>
    <w:rsid w:val="00AB0257"/>
    <w:rsid w:val="00AB2022"/>
    <w:rsid w:val="00AB33E3"/>
    <w:rsid w:val="00AB59FD"/>
    <w:rsid w:val="00AB64CB"/>
    <w:rsid w:val="00AB6DBD"/>
    <w:rsid w:val="00AB7642"/>
    <w:rsid w:val="00AB7CE0"/>
    <w:rsid w:val="00AB7DC1"/>
    <w:rsid w:val="00AC01F9"/>
    <w:rsid w:val="00AC0691"/>
    <w:rsid w:val="00AC0B6A"/>
    <w:rsid w:val="00AC2A48"/>
    <w:rsid w:val="00AC3A79"/>
    <w:rsid w:val="00AC4ED6"/>
    <w:rsid w:val="00AC52E2"/>
    <w:rsid w:val="00AC55C0"/>
    <w:rsid w:val="00AC6254"/>
    <w:rsid w:val="00AC6295"/>
    <w:rsid w:val="00AC65F4"/>
    <w:rsid w:val="00AC6669"/>
    <w:rsid w:val="00AC67A4"/>
    <w:rsid w:val="00AC7050"/>
    <w:rsid w:val="00AC71AB"/>
    <w:rsid w:val="00AC7376"/>
    <w:rsid w:val="00AC7662"/>
    <w:rsid w:val="00AC7876"/>
    <w:rsid w:val="00AC7C96"/>
    <w:rsid w:val="00AC7E5B"/>
    <w:rsid w:val="00AC7F8F"/>
    <w:rsid w:val="00AD0034"/>
    <w:rsid w:val="00AD055F"/>
    <w:rsid w:val="00AD0DEF"/>
    <w:rsid w:val="00AD1AD5"/>
    <w:rsid w:val="00AD1E55"/>
    <w:rsid w:val="00AD20A0"/>
    <w:rsid w:val="00AD29CD"/>
    <w:rsid w:val="00AD3938"/>
    <w:rsid w:val="00AD3DF0"/>
    <w:rsid w:val="00AD4702"/>
    <w:rsid w:val="00AD48BB"/>
    <w:rsid w:val="00AD5C7B"/>
    <w:rsid w:val="00AD7102"/>
    <w:rsid w:val="00AD7154"/>
    <w:rsid w:val="00AD759B"/>
    <w:rsid w:val="00AD7689"/>
    <w:rsid w:val="00AD7D17"/>
    <w:rsid w:val="00AE077B"/>
    <w:rsid w:val="00AE15C6"/>
    <w:rsid w:val="00AE15F8"/>
    <w:rsid w:val="00AE2F3D"/>
    <w:rsid w:val="00AE3563"/>
    <w:rsid w:val="00AE38BC"/>
    <w:rsid w:val="00AE4C14"/>
    <w:rsid w:val="00AE4E6F"/>
    <w:rsid w:val="00AE539E"/>
    <w:rsid w:val="00AE56D9"/>
    <w:rsid w:val="00AE6AE4"/>
    <w:rsid w:val="00AE6E11"/>
    <w:rsid w:val="00AE6E71"/>
    <w:rsid w:val="00AE752E"/>
    <w:rsid w:val="00AE77F6"/>
    <w:rsid w:val="00AE7AEE"/>
    <w:rsid w:val="00AE7DC3"/>
    <w:rsid w:val="00AF19E6"/>
    <w:rsid w:val="00AF1A78"/>
    <w:rsid w:val="00AF2903"/>
    <w:rsid w:val="00AF2A68"/>
    <w:rsid w:val="00AF3755"/>
    <w:rsid w:val="00AF37D0"/>
    <w:rsid w:val="00AF4CC7"/>
    <w:rsid w:val="00AF5FA3"/>
    <w:rsid w:val="00AF6D30"/>
    <w:rsid w:val="00AF76AA"/>
    <w:rsid w:val="00B00168"/>
    <w:rsid w:val="00B00858"/>
    <w:rsid w:val="00B00E0A"/>
    <w:rsid w:val="00B01177"/>
    <w:rsid w:val="00B012B9"/>
    <w:rsid w:val="00B01468"/>
    <w:rsid w:val="00B018C2"/>
    <w:rsid w:val="00B02356"/>
    <w:rsid w:val="00B02553"/>
    <w:rsid w:val="00B02A06"/>
    <w:rsid w:val="00B02B9C"/>
    <w:rsid w:val="00B02EB1"/>
    <w:rsid w:val="00B035D1"/>
    <w:rsid w:val="00B03C02"/>
    <w:rsid w:val="00B0579C"/>
    <w:rsid w:val="00B07EB5"/>
    <w:rsid w:val="00B10252"/>
    <w:rsid w:val="00B104D5"/>
    <w:rsid w:val="00B1060D"/>
    <w:rsid w:val="00B10EF6"/>
    <w:rsid w:val="00B11502"/>
    <w:rsid w:val="00B11D05"/>
    <w:rsid w:val="00B11DBE"/>
    <w:rsid w:val="00B133AF"/>
    <w:rsid w:val="00B13DF2"/>
    <w:rsid w:val="00B153AE"/>
    <w:rsid w:val="00B15CE7"/>
    <w:rsid w:val="00B16929"/>
    <w:rsid w:val="00B16B94"/>
    <w:rsid w:val="00B16C44"/>
    <w:rsid w:val="00B208EC"/>
    <w:rsid w:val="00B222EC"/>
    <w:rsid w:val="00B2289C"/>
    <w:rsid w:val="00B23324"/>
    <w:rsid w:val="00B23483"/>
    <w:rsid w:val="00B23ECE"/>
    <w:rsid w:val="00B2455A"/>
    <w:rsid w:val="00B247DE"/>
    <w:rsid w:val="00B250D7"/>
    <w:rsid w:val="00B25131"/>
    <w:rsid w:val="00B256C6"/>
    <w:rsid w:val="00B25A64"/>
    <w:rsid w:val="00B265CF"/>
    <w:rsid w:val="00B26E75"/>
    <w:rsid w:val="00B27006"/>
    <w:rsid w:val="00B27203"/>
    <w:rsid w:val="00B27D79"/>
    <w:rsid w:val="00B30556"/>
    <w:rsid w:val="00B30890"/>
    <w:rsid w:val="00B310C3"/>
    <w:rsid w:val="00B318C4"/>
    <w:rsid w:val="00B31DAE"/>
    <w:rsid w:val="00B321D9"/>
    <w:rsid w:val="00B32C24"/>
    <w:rsid w:val="00B32F24"/>
    <w:rsid w:val="00B32F4A"/>
    <w:rsid w:val="00B330B2"/>
    <w:rsid w:val="00B3311F"/>
    <w:rsid w:val="00B33FEB"/>
    <w:rsid w:val="00B362D8"/>
    <w:rsid w:val="00B37618"/>
    <w:rsid w:val="00B40617"/>
    <w:rsid w:val="00B40757"/>
    <w:rsid w:val="00B407ED"/>
    <w:rsid w:val="00B422E5"/>
    <w:rsid w:val="00B42634"/>
    <w:rsid w:val="00B42AEA"/>
    <w:rsid w:val="00B43E32"/>
    <w:rsid w:val="00B44541"/>
    <w:rsid w:val="00B45479"/>
    <w:rsid w:val="00B455D2"/>
    <w:rsid w:val="00B45610"/>
    <w:rsid w:val="00B4605C"/>
    <w:rsid w:val="00B468FA"/>
    <w:rsid w:val="00B5030F"/>
    <w:rsid w:val="00B504E4"/>
    <w:rsid w:val="00B50AB5"/>
    <w:rsid w:val="00B511CA"/>
    <w:rsid w:val="00B53B94"/>
    <w:rsid w:val="00B53BAD"/>
    <w:rsid w:val="00B54835"/>
    <w:rsid w:val="00B54ACC"/>
    <w:rsid w:val="00B54EBF"/>
    <w:rsid w:val="00B55AE6"/>
    <w:rsid w:val="00B56325"/>
    <w:rsid w:val="00B565CD"/>
    <w:rsid w:val="00B56CBF"/>
    <w:rsid w:val="00B56FFD"/>
    <w:rsid w:val="00B605E4"/>
    <w:rsid w:val="00B61364"/>
    <w:rsid w:val="00B61E83"/>
    <w:rsid w:val="00B6230A"/>
    <w:rsid w:val="00B62CB7"/>
    <w:rsid w:val="00B62F5D"/>
    <w:rsid w:val="00B6327B"/>
    <w:rsid w:val="00B647CE"/>
    <w:rsid w:val="00B65213"/>
    <w:rsid w:val="00B6529E"/>
    <w:rsid w:val="00B65B54"/>
    <w:rsid w:val="00B66106"/>
    <w:rsid w:val="00B66321"/>
    <w:rsid w:val="00B67846"/>
    <w:rsid w:val="00B70163"/>
    <w:rsid w:val="00B70E52"/>
    <w:rsid w:val="00B71D92"/>
    <w:rsid w:val="00B74009"/>
    <w:rsid w:val="00B7458D"/>
    <w:rsid w:val="00B74A2E"/>
    <w:rsid w:val="00B74C5E"/>
    <w:rsid w:val="00B75F1F"/>
    <w:rsid w:val="00B764F9"/>
    <w:rsid w:val="00B76C33"/>
    <w:rsid w:val="00B770B5"/>
    <w:rsid w:val="00B776F7"/>
    <w:rsid w:val="00B803F5"/>
    <w:rsid w:val="00B80603"/>
    <w:rsid w:val="00B808B5"/>
    <w:rsid w:val="00B80D85"/>
    <w:rsid w:val="00B81B29"/>
    <w:rsid w:val="00B81DD3"/>
    <w:rsid w:val="00B82D89"/>
    <w:rsid w:val="00B835A3"/>
    <w:rsid w:val="00B83B67"/>
    <w:rsid w:val="00B8414A"/>
    <w:rsid w:val="00B844A1"/>
    <w:rsid w:val="00B844E3"/>
    <w:rsid w:val="00B84866"/>
    <w:rsid w:val="00B84B69"/>
    <w:rsid w:val="00B852D6"/>
    <w:rsid w:val="00B857C0"/>
    <w:rsid w:val="00B85814"/>
    <w:rsid w:val="00B862D3"/>
    <w:rsid w:val="00B87750"/>
    <w:rsid w:val="00B907F8"/>
    <w:rsid w:val="00B9092C"/>
    <w:rsid w:val="00B9118F"/>
    <w:rsid w:val="00B9133C"/>
    <w:rsid w:val="00B922D6"/>
    <w:rsid w:val="00B92A61"/>
    <w:rsid w:val="00B9552A"/>
    <w:rsid w:val="00B9769A"/>
    <w:rsid w:val="00B97A3C"/>
    <w:rsid w:val="00B97DE3"/>
    <w:rsid w:val="00B97F9A"/>
    <w:rsid w:val="00BA0206"/>
    <w:rsid w:val="00BA078F"/>
    <w:rsid w:val="00BA1322"/>
    <w:rsid w:val="00BA1343"/>
    <w:rsid w:val="00BA1AE1"/>
    <w:rsid w:val="00BA1E19"/>
    <w:rsid w:val="00BA22A9"/>
    <w:rsid w:val="00BA2F56"/>
    <w:rsid w:val="00BA330E"/>
    <w:rsid w:val="00BA3EBA"/>
    <w:rsid w:val="00BA450B"/>
    <w:rsid w:val="00BA576C"/>
    <w:rsid w:val="00BA665E"/>
    <w:rsid w:val="00BA6735"/>
    <w:rsid w:val="00BA6DFC"/>
    <w:rsid w:val="00BA7B79"/>
    <w:rsid w:val="00BA7F85"/>
    <w:rsid w:val="00BB0E3C"/>
    <w:rsid w:val="00BB14C5"/>
    <w:rsid w:val="00BB19BC"/>
    <w:rsid w:val="00BB1CA8"/>
    <w:rsid w:val="00BB1F8E"/>
    <w:rsid w:val="00BB22B4"/>
    <w:rsid w:val="00BB3851"/>
    <w:rsid w:val="00BB4023"/>
    <w:rsid w:val="00BB4256"/>
    <w:rsid w:val="00BB4D61"/>
    <w:rsid w:val="00BB4DAD"/>
    <w:rsid w:val="00BB6048"/>
    <w:rsid w:val="00BB6D12"/>
    <w:rsid w:val="00BB774B"/>
    <w:rsid w:val="00BB7958"/>
    <w:rsid w:val="00BC01E7"/>
    <w:rsid w:val="00BC3421"/>
    <w:rsid w:val="00BC39E3"/>
    <w:rsid w:val="00BC3AC8"/>
    <w:rsid w:val="00BC44ED"/>
    <w:rsid w:val="00BC5BD9"/>
    <w:rsid w:val="00BC649F"/>
    <w:rsid w:val="00BC6E99"/>
    <w:rsid w:val="00BC7031"/>
    <w:rsid w:val="00BC71A9"/>
    <w:rsid w:val="00BC7A7B"/>
    <w:rsid w:val="00BD13A0"/>
    <w:rsid w:val="00BD2053"/>
    <w:rsid w:val="00BD270C"/>
    <w:rsid w:val="00BD2D6B"/>
    <w:rsid w:val="00BD30E0"/>
    <w:rsid w:val="00BD3358"/>
    <w:rsid w:val="00BD3AAB"/>
    <w:rsid w:val="00BD4BBB"/>
    <w:rsid w:val="00BD4D78"/>
    <w:rsid w:val="00BD5226"/>
    <w:rsid w:val="00BD54ED"/>
    <w:rsid w:val="00BD617C"/>
    <w:rsid w:val="00BD6461"/>
    <w:rsid w:val="00BD6CB9"/>
    <w:rsid w:val="00BD74F6"/>
    <w:rsid w:val="00BD7753"/>
    <w:rsid w:val="00BE0159"/>
    <w:rsid w:val="00BE05C3"/>
    <w:rsid w:val="00BE0A75"/>
    <w:rsid w:val="00BE118F"/>
    <w:rsid w:val="00BE1392"/>
    <w:rsid w:val="00BE1A17"/>
    <w:rsid w:val="00BE21B7"/>
    <w:rsid w:val="00BE28AB"/>
    <w:rsid w:val="00BE2F8A"/>
    <w:rsid w:val="00BE30C6"/>
    <w:rsid w:val="00BE34C5"/>
    <w:rsid w:val="00BE3FE0"/>
    <w:rsid w:val="00BE5064"/>
    <w:rsid w:val="00BE5832"/>
    <w:rsid w:val="00BE6086"/>
    <w:rsid w:val="00BE61E7"/>
    <w:rsid w:val="00BE6F24"/>
    <w:rsid w:val="00BE74E0"/>
    <w:rsid w:val="00BE76DB"/>
    <w:rsid w:val="00BE7907"/>
    <w:rsid w:val="00BE7B40"/>
    <w:rsid w:val="00BE7EB9"/>
    <w:rsid w:val="00BF033A"/>
    <w:rsid w:val="00BF067E"/>
    <w:rsid w:val="00BF0C63"/>
    <w:rsid w:val="00BF2373"/>
    <w:rsid w:val="00BF3217"/>
    <w:rsid w:val="00BF3F4D"/>
    <w:rsid w:val="00BF43A7"/>
    <w:rsid w:val="00BF459D"/>
    <w:rsid w:val="00BF4AC8"/>
    <w:rsid w:val="00BF55F6"/>
    <w:rsid w:val="00BF5BA6"/>
    <w:rsid w:val="00BF605D"/>
    <w:rsid w:val="00BF651F"/>
    <w:rsid w:val="00BF6B8D"/>
    <w:rsid w:val="00BF763D"/>
    <w:rsid w:val="00BF7852"/>
    <w:rsid w:val="00C015CD"/>
    <w:rsid w:val="00C019BA"/>
    <w:rsid w:val="00C02448"/>
    <w:rsid w:val="00C02882"/>
    <w:rsid w:val="00C02F40"/>
    <w:rsid w:val="00C03435"/>
    <w:rsid w:val="00C0348F"/>
    <w:rsid w:val="00C0485A"/>
    <w:rsid w:val="00C05828"/>
    <w:rsid w:val="00C06AD1"/>
    <w:rsid w:val="00C06E7C"/>
    <w:rsid w:val="00C102DE"/>
    <w:rsid w:val="00C108FF"/>
    <w:rsid w:val="00C109FC"/>
    <w:rsid w:val="00C10B16"/>
    <w:rsid w:val="00C10C61"/>
    <w:rsid w:val="00C10DBD"/>
    <w:rsid w:val="00C126D2"/>
    <w:rsid w:val="00C13021"/>
    <w:rsid w:val="00C13699"/>
    <w:rsid w:val="00C14025"/>
    <w:rsid w:val="00C15854"/>
    <w:rsid w:val="00C16216"/>
    <w:rsid w:val="00C166EA"/>
    <w:rsid w:val="00C2103B"/>
    <w:rsid w:val="00C210C6"/>
    <w:rsid w:val="00C216BC"/>
    <w:rsid w:val="00C22113"/>
    <w:rsid w:val="00C22A31"/>
    <w:rsid w:val="00C22D9A"/>
    <w:rsid w:val="00C2426E"/>
    <w:rsid w:val="00C242B4"/>
    <w:rsid w:val="00C25675"/>
    <w:rsid w:val="00C26229"/>
    <w:rsid w:val="00C26290"/>
    <w:rsid w:val="00C26AE6"/>
    <w:rsid w:val="00C27050"/>
    <w:rsid w:val="00C27467"/>
    <w:rsid w:val="00C30606"/>
    <w:rsid w:val="00C30785"/>
    <w:rsid w:val="00C307BA"/>
    <w:rsid w:val="00C30950"/>
    <w:rsid w:val="00C30F53"/>
    <w:rsid w:val="00C310A4"/>
    <w:rsid w:val="00C31A27"/>
    <w:rsid w:val="00C32CC6"/>
    <w:rsid w:val="00C331D9"/>
    <w:rsid w:val="00C33D07"/>
    <w:rsid w:val="00C33ECC"/>
    <w:rsid w:val="00C344F2"/>
    <w:rsid w:val="00C346EB"/>
    <w:rsid w:val="00C3473C"/>
    <w:rsid w:val="00C377E2"/>
    <w:rsid w:val="00C37886"/>
    <w:rsid w:val="00C37942"/>
    <w:rsid w:val="00C37D23"/>
    <w:rsid w:val="00C37E48"/>
    <w:rsid w:val="00C411F7"/>
    <w:rsid w:val="00C41220"/>
    <w:rsid w:val="00C41D9E"/>
    <w:rsid w:val="00C4290C"/>
    <w:rsid w:val="00C43333"/>
    <w:rsid w:val="00C43765"/>
    <w:rsid w:val="00C43B46"/>
    <w:rsid w:val="00C44BB2"/>
    <w:rsid w:val="00C452EE"/>
    <w:rsid w:val="00C45BBB"/>
    <w:rsid w:val="00C45DD8"/>
    <w:rsid w:val="00C46053"/>
    <w:rsid w:val="00C4681B"/>
    <w:rsid w:val="00C46A9D"/>
    <w:rsid w:val="00C504C2"/>
    <w:rsid w:val="00C50A5F"/>
    <w:rsid w:val="00C50AB1"/>
    <w:rsid w:val="00C50B4E"/>
    <w:rsid w:val="00C5112F"/>
    <w:rsid w:val="00C52B65"/>
    <w:rsid w:val="00C52C77"/>
    <w:rsid w:val="00C5318D"/>
    <w:rsid w:val="00C53282"/>
    <w:rsid w:val="00C534D9"/>
    <w:rsid w:val="00C53ADD"/>
    <w:rsid w:val="00C553E6"/>
    <w:rsid w:val="00C55C7B"/>
    <w:rsid w:val="00C55FCD"/>
    <w:rsid w:val="00C611F2"/>
    <w:rsid w:val="00C62809"/>
    <w:rsid w:val="00C628FD"/>
    <w:rsid w:val="00C6328B"/>
    <w:rsid w:val="00C63568"/>
    <w:rsid w:val="00C63589"/>
    <w:rsid w:val="00C64479"/>
    <w:rsid w:val="00C649CB"/>
    <w:rsid w:val="00C64CE4"/>
    <w:rsid w:val="00C65002"/>
    <w:rsid w:val="00C669F6"/>
    <w:rsid w:val="00C70312"/>
    <w:rsid w:val="00C70D87"/>
    <w:rsid w:val="00C71D4E"/>
    <w:rsid w:val="00C72126"/>
    <w:rsid w:val="00C73762"/>
    <w:rsid w:val="00C73F42"/>
    <w:rsid w:val="00C76A75"/>
    <w:rsid w:val="00C76EA7"/>
    <w:rsid w:val="00C76F17"/>
    <w:rsid w:val="00C80BE5"/>
    <w:rsid w:val="00C81532"/>
    <w:rsid w:val="00C81D28"/>
    <w:rsid w:val="00C82551"/>
    <w:rsid w:val="00C82ABB"/>
    <w:rsid w:val="00C8304C"/>
    <w:rsid w:val="00C84162"/>
    <w:rsid w:val="00C8461B"/>
    <w:rsid w:val="00C84A0B"/>
    <w:rsid w:val="00C85F2B"/>
    <w:rsid w:val="00C86C07"/>
    <w:rsid w:val="00C87855"/>
    <w:rsid w:val="00C90038"/>
    <w:rsid w:val="00C900C3"/>
    <w:rsid w:val="00C915EF"/>
    <w:rsid w:val="00C91CC2"/>
    <w:rsid w:val="00C91D9F"/>
    <w:rsid w:val="00C923BB"/>
    <w:rsid w:val="00C92539"/>
    <w:rsid w:val="00C92CBD"/>
    <w:rsid w:val="00C931A5"/>
    <w:rsid w:val="00C932BA"/>
    <w:rsid w:val="00C93764"/>
    <w:rsid w:val="00C942CE"/>
    <w:rsid w:val="00C944D5"/>
    <w:rsid w:val="00C9626C"/>
    <w:rsid w:val="00C970E5"/>
    <w:rsid w:val="00C97631"/>
    <w:rsid w:val="00C9766B"/>
    <w:rsid w:val="00C97EA9"/>
    <w:rsid w:val="00CA09E8"/>
    <w:rsid w:val="00CA13BC"/>
    <w:rsid w:val="00CA1647"/>
    <w:rsid w:val="00CA2C2B"/>
    <w:rsid w:val="00CA34DE"/>
    <w:rsid w:val="00CA3CDE"/>
    <w:rsid w:val="00CA5495"/>
    <w:rsid w:val="00CA61B0"/>
    <w:rsid w:val="00CA67D2"/>
    <w:rsid w:val="00CA69DD"/>
    <w:rsid w:val="00CA6EFF"/>
    <w:rsid w:val="00CB03F9"/>
    <w:rsid w:val="00CB1232"/>
    <w:rsid w:val="00CB12F8"/>
    <w:rsid w:val="00CB1AF6"/>
    <w:rsid w:val="00CB1D67"/>
    <w:rsid w:val="00CB2213"/>
    <w:rsid w:val="00CB22B2"/>
    <w:rsid w:val="00CB3EEE"/>
    <w:rsid w:val="00CB44B4"/>
    <w:rsid w:val="00CB4B6A"/>
    <w:rsid w:val="00CB4F3F"/>
    <w:rsid w:val="00CB5103"/>
    <w:rsid w:val="00CB54C1"/>
    <w:rsid w:val="00CB5E5A"/>
    <w:rsid w:val="00CB636E"/>
    <w:rsid w:val="00CB6B82"/>
    <w:rsid w:val="00CB7F7D"/>
    <w:rsid w:val="00CC040A"/>
    <w:rsid w:val="00CC04E0"/>
    <w:rsid w:val="00CC1093"/>
    <w:rsid w:val="00CC24DE"/>
    <w:rsid w:val="00CC2894"/>
    <w:rsid w:val="00CC2A60"/>
    <w:rsid w:val="00CC33CB"/>
    <w:rsid w:val="00CC3C1F"/>
    <w:rsid w:val="00CC5DF3"/>
    <w:rsid w:val="00CC6164"/>
    <w:rsid w:val="00CC6234"/>
    <w:rsid w:val="00CC6370"/>
    <w:rsid w:val="00CC6654"/>
    <w:rsid w:val="00CC773A"/>
    <w:rsid w:val="00CC7DBA"/>
    <w:rsid w:val="00CD01A3"/>
    <w:rsid w:val="00CD260B"/>
    <w:rsid w:val="00CD2C71"/>
    <w:rsid w:val="00CD2F2B"/>
    <w:rsid w:val="00CD3F8E"/>
    <w:rsid w:val="00CD42F1"/>
    <w:rsid w:val="00CD446C"/>
    <w:rsid w:val="00CD46DC"/>
    <w:rsid w:val="00CD59DB"/>
    <w:rsid w:val="00CD63CD"/>
    <w:rsid w:val="00CD6A18"/>
    <w:rsid w:val="00CD6CD6"/>
    <w:rsid w:val="00CD6F57"/>
    <w:rsid w:val="00CD7282"/>
    <w:rsid w:val="00CD797A"/>
    <w:rsid w:val="00CD7EE6"/>
    <w:rsid w:val="00CE1D60"/>
    <w:rsid w:val="00CE2344"/>
    <w:rsid w:val="00CE33CB"/>
    <w:rsid w:val="00CE4409"/>
    <w:rsid w:val="00CE4A18"/>
    <w:rsid w:val="00CE4E6F"/>
    <w:rsid w:val="00CE52A1"/>
    <w:rsid w:val="00CE5713"/>
    <w:rsid w:val="00CE59D3"/>
    <w:rsid w:val="00CE6CEB"/>
    <w:rsid w:val="00CE779C"/>
    <w:rsid w:val="00CF1307"/>
    <w:rsid w:val="00CF152E"/>
    <w:rsid w:val="00CF18B6"/>
    <w:rsid w:val="00CF1A63"/>
    <w:rsid w:val="00CF1A68"/>
    <w:rsid w:val="00CF21B7"/>
    <w:rsid w:val="00CF27C1"/>
    <w:rsid w:val="00CF29F6"/>
    <w:rsid w:val="00CF2D21"/>
    <w:rsid w:val="00CF4670"/>
    <w:rsid w:val="00CF5209"/>
    <w:rsid w:val="00CF5BB9"/>
    <w:rsid w:val="00CF5C6D"/>
    <w:rsid w:val="00CF68C1"/>
    <w:rsid w:val="00CF6A98"/>
    <w:rsid w:val="00CF6D0D"/>
    <w:rsid w:val="00CF6DDC"/>
    <w:rsid w:val="00CF7394"/>
    <w:rsid w:val="00CF7641"/>
    <w:rsid w:val="00CF7C68"/>
    <w:rsid w:val="00D00C0C"/>
    <w:rsid w:val="00D00C1E"/>
    <w:rsid w:val="00D022FF"/>
    <w:rsid w:val="00D029B3"/>
    <w:rsid w:val="00D02CE2"/>
    <w:rsid w:val="00D03622"/>
    <w:rsid w:val="00D03806"/>
    <w:rsid w:val="00D03A3D"/>
    <w:rsid w:val="00D0416F"/>
    <w:rsid w:val="00D043A7"/>
    <w:rsid w:val="00D04FC3"/>
    <w:rsid w:val="00D0550B"/>
    <w:rsid w:val="00D0604B"/>
    <w:rsid w:val="00D06714"/>
    <w:rsid w:val="00D1014F"/>
    <w:rsid w:val="00D10776"/>
    <w:rsid w:val="00D115B2"/>
    <w:rsid w:val="00D11BC4"/>
    <w:rsid w:val="00D12D69"/>
    <w:rsid w:val="00D13BDB"/>
    <w:rsid w:val="00D1423E"/>
    <w:rsid w:val="00D148F3"/>
    <w:rsid w:val="00D1509D"/>
    <w:rsid w:val="00D16A81"/>
    <w:rsid w:val="00D16F7B"/>
    <w:rsid w:val="00D1736E"/>
    <w:rsid w:val="00D20052"/>
    <w:rsid w:val="00D203E8"/>
    <w:rsid w:val="00D21F04"/>
    <w:rsid w:val="00D22463"/>
    <w:rsid w:val="00D22550"/>
    <w:rsid w:val="00D22C9B"/>
    <w:rsid w:val="00D23DF3"/>
    <w:rsid w:val="00D23EBF"/>
    <w:rsid w:val="00D2460B"/>
    <w:rsid w:val="00D24CC8"/>
    <w:rsid w:val="00D25411"/>
    <w:rsid w:val="00D26663"/>
    <w:rsid w:val="00D2741C"/>
    <w:rsid w:val="00D27786"/>
    <w:rsid w:val="00D27A35"/>
    <w:rsid w:val="00D30D24"/>
    <w:rsid w:val="00D3154D"/>
    <w:rsid w:val="00D31A6E"/>
    <w:rsid w:val="00D31E71"/>
    <w:rsid w:val="00D35140"/>
    <w:rsid w:val="00D35BE6"/>
    <w:rsid w:val="00D36EAF"/>
    <w:rsid w:val="00D37269"/>
    <w:rsid w:val="00D37BDE"/>
    <w:rsid w:val="00D40318"/>
    <w:rsid w:val="00D40DEA"/>
    <w:rsid w:val="00D4171C"/>
    <w:rsid w:val="00D417FA"/>
    <w:rsid w:val="00D42549"/>
    <w:rsid w:val="00D42CF4"/>
    <w:rsid w:val="00D42D42"/>
    <w:rsid w:val="00D4359E"/>
    <w:rsid w:val="00D445A5"/>
    <w:rsid w:val="00D45328"/>
    <w:rsid w:val="00D45567"/>
    <w:rsid w:val="00D47476"/>
    <w:rsid w:val="00D47C53"/>
    <w:rsid w:val="00D47E78"/>
    <w:rsid w:val="00D5081D"/>
    <w:rsid w:val="00D51214"/>
    <w:rsid w:val="00D512E9"/>
    <w:rsid w:val="00D515F4"/>
    <w:rsid w:val="00D51844"/>
    <w:rsid w:val="00D52230"/>
    <w:rsid w:val="00D5341E"/>
    <w:rsid w:val="00D538C4"/>
    <w:rsid w:val="00D5420D"/>
    <w:rsid w:val="00D54C54"/>
    <w:rsid w:val="00D5587D"/>
    <w:rsid w:val="00D55C4F"/>
    <w:rsid w:val="00D56CF4"/>
    <w:rsid w:val="00D57E3B"/>
    <w:rsid w:val="00D57FC6"/>
    <w:rsid w:val="00D601B0"/>
    <w:rsid w:val="00D60901"/>
    <w:rsid w:val="00D626A2"/>
    <w:rsid w:val="00D63312"/>
    <w:rsid w:val="00D633FF"/>
    <w:rsid w:val="00D6406B"/>
    <w:rsid w:val="00D64406"/>
    <w:rsid w:val="00D6472F"/>
    <w:rsid w:val="00D64F5E"/>
    <w:rsid w:val="00D65F33"/>
    <w:rsid w:val="00D66AF6"/>
    <w:rsid w:val="00D6724E"/>
    <w:rsid w:val="00D677F6"/>
    <w:rsid w:val="00D67E32"/>
    <w:rsid w:val="00D67EAC"/>
    <w:rsid w:val="00D70881"/>
    <w:rsid w:val="00D7091B"/>
    <w:rsid w:val="00D70B5F"/>
    <w:rsid w:val="00D70BF5"/>
    <w:rsid w:val="00D718A8"/>
    <w:rsid w:val="00D7295D"/>
    <w:rsid w:val="00D72F30"/>
    <w:rsid w:val="00D738EB"/>
    <w:rsid w:val="00D7437F"/>
    <w:rsid w:val="00D747F2"/>
    <w:rsid w:val="00D74CC9"/>
    <w:rsid w:val="00D74F1C"/>
    <w:rsid w:val="00D7678E"/>
    <w:rsid w:val="00D7758A"/>
    <w:rsid w:val="00D77CBE"/>
    <w:rsid w:val="00D802E9"/>
    <w:rsid w:val="00D80FF4"/>
    <w:rsid w:val="00D832EB"/>
    <w:rsid w:val="00D836EA"/>
    <w:rsid w:val="00D83C99"/>
    <w:rsid w:val="00D83DC4"/>
    <w:rsid w:val="00D84CC4"/>
    <w:rsid w:val="00D84CCD"/>
    <w:rsid w:val="00D85923"/>
    <w:rsid w:val="00D86127"/>
    <w:rsid w:val="00D87EA1"/>
    <w:rsid w:val="00D900E0"/>
    <w:rsid w:val="00D90489"/>
    <w:rsid w:val="00D90643"/>
    <w:rsid w:val="00D911FF"/>
    <w:rsid w:val="00D921AA"/>
    <w:rsid w:val="00D93238"/>
    <w:rsid w:val="00D9377F"/>
    <w:rsid w:val="00D93FF4"/>
    <w:rsid w:val="00D94099"/>
    <w:rsid w:val="00D9426B"/>
    <w:rsid w:val="00D944F2"/>
    <w:rsid w:val="00D94580"/>
    <w:rsid w:val="00D94990"/>
    <w:rsid w:val="00D94E5F"/>
    <w:rsid w:val="00D95E69"/>
    <w:rsid w:val="00D95FBA"/>
    <w:rsid w:val="00D96EAD"/>
    <w:rsid w:val="00D97162"/>
    <w:rsid w:val="00DA00B6"/>
    <w:rsid w:val="00DA04B1"/>
    <w:rsid w:val="00DA0644"/>
    <w:rsid w:val="00DA0EDC"/>
    <w:rsid w:val="00DA13A3"/>
    <w:rsid w:val="00DA15A5"/>
    <w:rsid w:val="00DA20F0"/>
    <w:rsid w:val="00DA2713"/>
    <w:rsid w:val="00DA293C"/>
    <w:rsid w:val="00DA3823"/>
    <w:rsid w:val="00DA4263"/>
    <w:rsid w:val="00DA4623"/>
    <w:rsid w:val="00DA4E1A"/>
    <w:rsid w:val="00DA4E49"/>
    <w:rsid w:val="00DA538C"/>
    <w:rsid w:val="00DA5738"/>
    <w:rsid w:val="00DA6E3D"/>
    <w:rsid w:val="00DA7834"/>
    <w:rsid w:val="00DA7D53"/>
    <w:rsid w:val="00DB0129"/>
    <w:rsid w:val="00DB02D7"/>
    <w:rsid w:val="00DB0DB6"/>
    <w:rsid w:val="00DB0ED9"/>
    <w:rsid w:val="00DB163F"/>
    <w:rsid w:val="00DB1897"/>
    <w:rsid w:val="00DB1D63"/>
    <w:rsid w:val="00DB33CF"/>
    <w:rsid w:val="00DB442B"/>
    <w:rsid w:val="00DB5373"/>
    <w:rsid w:val="00DB5AD9"/>
    <w:rsid w:val="00DB5ED7"/>
    <w:rsid w:val="00DB6B64"/>
    <w:rsid w:val="00DB6BF3"/>
    <w:rsid w:val="00DC1B62"/>
    <w:rsid w:val="00DC2842"/>
    <w:rsid w:val="00DC2C2E"/>
    <w:rsid w:val="00DC310B"/>
    <w:rsid w:val="00DC4110"/>
    <w:rsid w:val="00DC57B7"/>
    <w:rsid w:val="00DC6BF3"/>
    <w:rsid w:val="00DC78F5"/>
    <w:rsid w:val="00DD0477"/>
    <w:rsid w:val="00DD0C66"/>
    <w:rsid w:val="00DD0EB4"/>
    <w:rsid w:val="00DD122C"/>
    <w:rsid w:val="00DD16C7"/>
    <w:rsid w:val="00DD199D"/>
    <w:rsid w:val="00DD19CD"/>
    <w:rsid w:val="00DD2D7D"/>
    <w:rsid w:val="00DD34B3"/>
    <w:rsid w:val="00DD3AC1"/>
    <w:rsid w:val="00DD3CC3"/>
    <w:rsid w:val="00DD485E"/>
    <w:rsid w:val="00DD5B5C"/>
    <w:rsid w:val="00DD5C93"/>
    <w:rsid w:val="00DD61CC"/>
    <w:rsid w:val="00DD674A"/>
    <w:rsid w:val="00DD696F"/>
    <w:rsid w:val="00DD7AA5"/>
    <w:rsid w:val="00DD7C4F"/>
    <w:rsid w:val="00DE0303"/>
    <w:rsid w:val="00DE07D4"/>
    <w:rsid w:val="00DE0D3E"/>
    <w:rsid w:val="00DE102B"/>
    <w:rsid w:val="00DE1115"/>
    <w:rsid w:val="00DE15C8"/>
    <w:rsid w:val="00DE1DCA"/>
    <w:rsid w:val="00DE1DFE"/>
    <w:rsid w:val="00DE233B"/>
    <w:rsid w:val="00DE26B6"/>
    <w:rsid w:val="00DE42C6"/>
    <w:rsid w:val="00DE59B6"/>
    <w:rsid w:val="00DE7147"/>
    <w:rsid w:val="00DE78C9"/>
    <w:rsid w:val="00DE7A67"/>
    <w:rsid w:val="00DF01ED"/>
    <w:rsid w:val="00DF0E11"/>
    <w:rsid w:val="00DF1554"/>
    <w:rsid w:val="00DF1AF5"/>
    <w:rsid w:val="00DF3B70"/>
    <w:rsid w:val="00DF55CC"/>
    <w:rsid w:val="00DF5B6D"/>
    <w:rsid w:val="00DF5D73"/>
    <w:rsid w:val="00DF621C"/>
    <w:rsid w:val="00DF6A98"/>
    <w:rsid w:val="00DF75C2"/>
    <w:rsid w:val="00DF79F5"/>
    <w:rsid w:val="00DF7DDB"/>
    <w:rsid w:val="00E00133"/>
    <w:rsid w:val="00E00E55"/>
    <w:rsid w:val="00E01629"/>
    <w:rsid w:val="00E01B7F"/>
    <w:rsid w:val="00E021BC"/>
    <w:rsid w:val="00E02F17"/>
    <w:rsid w:val="00E0354A"/>
    <w:rsid w:val="00E03A3B"/>
    <w:rsid w:val="00E0408B"/>
    <w:rsid w:val="00E049FB"/>
    <w:rsid w:val="00E0521B"/>
    <w:rsid w:val="00E05461"/>
    <w:rsid w:val="00E05AF1"/>
    <w:rsid w:val="00E0615A"/>
    <w:rsid w:val="00E10539"/>
    <w:rsid w:val="00E116A4"/>
    <w:rsid w:val="00E12714"/>
    <w:rsid w:val="00E13661"/>
    <w:rsid w:val="00E13B55"/>
    <w:rsid w:val="00E13D0A"/>
    <w:rsid w:val="00E1425C"/>
    <w:rsid w:val="00E1471E"/>
    <w:rsid w:val="00E147D0"/>
    <w:rsid w:val="00E1575C"/>
    <w:rsid w:val="00E15760"/>
    <w:rsid w:val="00E15D51"/>
    <w:rsid w:val="00E20436"/>
    <w:rsid w:val="00E2055E"/>
    <w:rsid w:val="00E20DC2"/>
    <w:rsid w:val="00E21528"/>
    <w:rsid w:val="00E21A00"/>
    <w:rsid w:val="00E21C23"/>
    <w:rsid w:val="00E21F70"/>
    <w:rsid w:val="00E23152"/>
    <w:rsid w:val="00E23268"/>
    <w:rsid w:val="00E242EC"/>
    <w:rsid w:val="00E245A2"/>
    <w:rsid w:val="00E24F25"/>
    <w:rsid w:val="00E25377"/>
    <w:rsid w:val="00E258D2"/>
    <w:rsid w:val="00E25DDA"/>
    <w:rsid w:val="00E26736"/>
    <w:rsid w:val="00E27824"/>
    <w:rsid w:val="00E27FC7"/>
    <w:rsid w:val="00E30709"/>
    <w:rsid w:val="00E30E8C"/>
    <w:rsid w:val="00E313C3"/>
    <w:rsid w:val="00E31871"/>
    <w:rsid w:val="00E322DB"/>
    <w:rsid w:val="00E328C2"/>
    <w:rsid w:val="00E32B2E"/>
    <w:rsid w:val="00E336B0"/>
    <w:rsid w:val="00E34197"/>
    <w:rsid w:val="00E342A9"/>
    <w:rsid w:val="00E34680"/>
    <w:rsid w:val="00E34B91"/>
    <w:rsid w:val="00E34EE5"/>
    <w:rsid w:val="00E3579A"/>
    <w:rsid w:val="00E35B11"/>
    <w:rsid w:val="00E3619E"/>
    <w:rsid w:val="00E3634B"/>
    <w:rsid w:val="00E36674"/>
    <w:rsid w:val="00E369ED"/>
    <w:rsid w:val="00E37E30"/>
    <w:rsid w:val="00E400B8"/>
    <w:rsid w:val="00E412A8"/>
    <w:rsid w:val="00E41C10"/>
    <w:rsid w:val="00E41CF8"/>
    <w:rsid w:val="00E41FE7"/>
    <w:rsid w:val="00E42279"/>
    <w:rsid w:val="00E422DB"/>
    <w:rsid w:val="00E42646"/>
    <w:rsid w:val="00E429FB"/>
    <w:rsid w:val="00E42FCF"/>
    <w:rsid w:val="00E43610"/>
    <w:rsid w:val="00E43CFF"/>
    <w:rsid w:val="00E45817"/>
    <w:rsid w:val="00E4597F"/>
    <w:rsid w:val="00E469AF"/>
    <w:rsid w:val="00E469B6"/>
    <w:rsid w:val="00E47B9B"/>
    <w:rsid w:val="00E50119"/>
    <w:rsid w:val="00E50438"/>
    <w:rsid w:val="00E51031"/>
    <w:rsid w:val="00E5285B"/>
    <w:rsid w:val="00E52AF8"/>
    <w:rsid w:val="00E52E28"/>
    <w:rsid w:val="00E54EC0"/>
    <w:rsid w:val="00E54FE8"/>
    <w:rsid w:val="00E55620"/>
    <w:rsid w:val="00E56769"/>
    <w:rsid w:val="00E569CC"/>
    <w:rsid w:val="00E56E20"/>
    <w:rsid w:val="00E56EDC"/>
    <w:rsid w:val="00E57221"/>
    <w:rsid w:val="00E57227"/>
    <w:rsid w:val="00E60182"/>
    <w:rsid w:val="00E601F0"/>
    <w:rsid w:val="00E60212"/>
    <w:rsid w:val="00E6094A"/>
    <w:rsid w:val="00E60AFD"/>
    <w:rsid w:val="00E60D61"/>
    <w:rsid w:val="00E60EF4"/>
    <w:rsid w:val="00E61506"/>
    <w:rsid w:val="00E625AB"/>
    <w:rsid w:val="00E6291A"/>
    <w:rsid w:val="00E62BBF"/>
    <w:rsid w:val="00E62F9B"/>
    <w:rsid w:val="00E63327"/>
    <w:rsid w:val="00E634BE"/>
    <w:rsid w:val="00E63851"/>
    <w:rsid w:val="00E64060"/>
    <w:rsid w:val="00E64122"/>
    <w:rsid w:val="00E64291"/>
    <w:rsid w:val="00E643E9"/>
    <w:rsid w:val="00E658AD"/>
    <w:rsid w:val="00E65936"/>
    <w:rsid w:val="00E65CA4"/>
    <w:rsid w:val="00E661AF"/>
    <w:rsid w:val="00E6675A"/>
    <w:rsid w:val="00E67D24"/>
    <w:rsid w:val="00E7001C"/>
    <w:rsid w:val="00E7086C"/>
    <w:rsid w:val="00E70DF1"/>
    <w:rsid w:val="00E71731"/>
    <w:rsid w:val="00E71A83"/>
    <w:rsid w:val="00E71B33"/>
    <w:rsid w:val="00E724F9"/>
    <w:rsid w:val="00E72E2A"/>
    <w:rsid w:val="00E73BBA"/>
    <w:rsid w:val="00E73EC1"/>
    <w:rsid w:val="00E74560"/>
    <w:rsid w:val="00E74819"/>
    <w:rsid w:val="00E74AA8"/>
    <w:rsid w:val="00E7502A"/>
    <w:rsid w:val="00E7520E"/>
    <w:rsid w:val="00E75CD0"/>
    <w:rsid w:val="00E77435"/>
    <w:rsid w:val="00E77727"/>
    <w:rsid w:val="00E77AAF"/>
    <w:rsid w:val="00E77C89"/>
    <w:rsid w:val="00E77F33"/>
    <w:rsid w:val="00E80238"/>
    <w:rsid w:val="00E80501"/>
    <w:rsid w:val="00E80DAE"/>
    <w:rsid w:val="00E81043"/>
    <w:rsid w:val="00E81399"/>
    <w:rsid w:val="00E82DF5"/>
    <w:rsid w:val="00E83203"/>
    <w:rsid w:val="00E8390D"/>
    <w:rsid w:val="00E8447C"/>
    <w:rsid w:val="00E84693"/>
    <w:rsid w:val="00E846C4"/>
    <w:rsid w:val="00E85CBD"/>
    <w:rsid w:val="00E863F2"/>
    <w:rsid w:val="00E86C2D"/>
    <w:rsid w:val="00E87F13"/>
    <w:rsid w:val="00E900EE"/>
    <w:rsid w:val="00E908F7"/>
    <w:rsid w:val="00E90AF2"/>
    <w:rsid w:val="00E90DE6"/>
    <w:rsid w:val="00E92347"/>
    <w:rsid w:val="00E929C7"/>
    <w:rsid w:val="00E92D27"/>
    <w:rsid w:val="00E9348A"/>
    <w:rsid w:val="00E93DDD"/>
    <w:rsid w:val="00E94E73"/>
    <w:rsid w:val="00E94F1C"/>
    <w:rsid w:val="00E952F6"/>
    <w:rsid w:val="00E95A6D"/>
    <w:rsid w:val="00E95C09"/>
    <w:rsid w:val="00E96249"/>
    <w:rsid w:val="00E97685"/>
    <w:rsid w:val="00EA03F2"/>
    <w:rsid w:val="00EA0F06"/>
    <w:rsid w:val="00EA1C13"/>
    <w:rsid w:val="00EA27A8"/>
    <w:rsid w:val="00EA2DA8"/>
    <w:rsid w:val="00EA3B88"/>
    <w:rsid w:val="00EA44DD"/>
    <w:rsid w:val="00EA47D9"/>
    <w:rsid w:val="00EA5458"/>
    <w:rsid w:val="00EA78AF"/>
    <w:rsid w:val="00EA7D2D"/>
    <w:rsid w:val="00EB06AD"/>
    <w:rsid w:val="00EB1C48"/>
    <w:rsid w:val="00EB2D46"/>
    <w:rsid w:val="00EB3B0D"/>
    <w:rsid w:val="00EB4478"/>
    <w:rsid w:val="00EB46BF"/>
    <w:rsid w:val="00EB5069"/>
    <w:rsid w:val="00EB52A7"/>
    <w:rsid w:val="00EB70D6"/>
    <w:rsid w:val="00EB7A3C"/>
    <w:rsid w:val="00EC000A"/>
    <w:rsid w:val="00EC0EA0"/>
    <w:rsid w:val="00EC13AE"/>
    <w:rsid w:val="00EC1A02"/>
    <w:rsid w:val="00EC259B"/>
    <w:rsid w:val="00EC38D3"/>
    <w:rsid w:val="00EC3B00"/>
    <w:rsid w:val="00EC3C09"/>
    <w:rsid w:val="00EC4223"/>
    <w:rsid w:val="00EC6481"/>
    <w:rsid w:val="00EC79F5"/>
    <w:rsid w:val="00EC7D95"/>
    <w:rsid w:val="00ED0538"/>
    <w:rsid w:val="00ED08A4"/>
    <w:rsid w:val="00ED1143"/>
    <w:rsid w:val="00ED1C2A"/>
    <w:rsid w:val="00ED34BD"/>
    <w:rsid w:val="00ED418E"/>
    <w:rsid w:val="00ED4996"/>
    <w:rsid w:val="00ED5869"/>
    <w:rsid w:val="00ED687D"/>
    <w:rsid w:val="00ED6E3C"/>
    <w:rsid w:val="00ED7121"/>
    <w:rsid w:val="00EE06CB"/>
    <w:rsid w:val="00EE0B04"/>
    <w:rsid w:val="00EE1311"/>
    <w:rsid w:val="00EE1BC4"/>
    <w:rsid w:val="00EE1EF7"/>
    <w:rsid w:val="00EE2100"/>
    <w:rsid w:val="00EE23E7"/>
    <w:rsid w:val="00EE3371"/>
    <w:rsid w:val="00EE3898"/>
    <w:rsid w:val="00EE3A3C"/>
    <w:rsid w:val="00EE4944"/>
    <w:rsid w:val="00EE574F"/>
    <w:rsid w:val="00EE6178"/>
    <w:rsid w:val="00EE6453"/>
    <w:rsid w:val="00EE6B69"/>
    <w:rsid w:val="00EE6E2A"/>
    <w:rsid w:val="00EE6F7F"/>
    <w:rsid w:val="00EE799D"/>
    <w:rsid w:val="00EF04AE"/>
    <w:rsid w:val="00EF49BB"/>
    <w:rsid w:val="00EF4ED0"/>
    <w:rsid w:val="00EF54E8"/>
    <w:rsid w:val="00EF5E39"/>
    <w:rsid w:val="00EF650E"/>
    <w:rsid w:val="00EF67C8"/>
    <w:rsid w:val="00EF7386"/>
    <w:rsid w:val="00EF783A"/>
    <w:rsid w:val="00EF7D20"/>
    <w:rsid w:val="00EF7F9A"/>
    <w:rsid w:val="00F00792"/>
    <w:rsid w:val="00F01463"/>
    <w:rsid w:val="00F01899"/>
    <w:rsid w:val="00F01AB4"/>
    <w:rsid w:val="00F02A9B"/>
    <w:rsid w:val="00F02DCA"/>
    <w:rsid w:val="00F03309"/>
    <w:rsid w:val="00F04510"/>
    <w:rsid w:val="00F04DAF"/>
    <w:rsid w:val="00F05264"/>
    <w:rsid w:val="00F05645"/>
    <w:rsid w:val="00F0705C"/>
    <w:rsid w:val="00F072DF"/>
    <w:rsid w:val="00F107BF"/>
    <w:rsid w:val="00F110C5"/>
    <w:rsid w:val="00F1171F"/>
    <w:rsid w:val="00F13606"/>
    <w:rsid w:val="00F13D9D"/>
    <w:rsid w:val="00F13F2E"/>
    <w:rsid w:val="00F14A14"/>
    <w:rsid w:val="00F14F2F"/>
    <w:rsid w:val="00F15638"/>
    <w:rsid w:val="00F1580A"/>
    <w:rsid w:val="00F15FA3"/>
    <w:rsid w:val="00F16004"/>
    <w:rsid w:val="00F165B9"/>
    <w:rsid w:val="00F167D7"/>
    <w:rsid w:val="00F16C3B"/>
    <w:rsid w:val="00F17476"/>
    <w:rsid w:val="00F20534"/>
    <w:rsid w:val="00F205FD"/>
    <w:rsid w:val="00F208A9"/>
    <w:rsid w:val="00F2199D"/>
    <w:rsid w:val="00F21CDC"/>
    <w:rsid w:val="00F220EA"/>
    <w:rsid w:val="00F223B8"/>
    <w:rsid w:val="00F22674"/>
    <w:rsid w:val="00F227CC"/>
    <w:rsid w:val="00F2390A"/>
    <w:rsid w:val="00F23CA4"/>
    <w:rsid w:val="00F23D05"/>
    <w:rsid w:val="00F23E5A"/>
    <w:rsid w:val="00F243D0"/>
    <w:rsid w:val="00F247CA"/>
    <w:rsid w:val="00F24C65"/>
    <w:rsid w:val="00F250CD"/>
    <w:rsid w:val="00F25B20"/>
    <w:rsid w:val="00F263CE"/>
    <w:rsid w:val="00F26660"/>
    <w:rsid w:val="00F30CB5"/>
    <w:rsid w:val="00F30DBE"/>
    <w:rsid w:val="00F317BD"/>
    <w:rsid w:val="00F31A85"/>
    <w:rsid w:val="00F33177"/>
    <w:rsid w:val="00F334B1"/>
    <w:rsid w:val="00F3488E"/>
    <w:rsid w:val="00F34A10"/>
    <w:rsid w:val="00F35750"/>
    <w:rsid w:val="00F37A5B"/>
    <w:rsid w:val="00F37D25"/>
    <w:rsid w:val="00F40392"/>
    <w:rsid w:val="00F40D5E"/>
    <w:rsid w:val="00F414C4"/>
    <w:rsid w:val="00F41DB4"/>
    <w:rsid w:val="00F421BC"/>
    <w:rsid w:val="00F424E1"/>
    <w:rsid w:val="00F43AF1"/>
    <w:rsid w:val="00F44592"/>
    <w:rsid w:val="00F44F16"/>
    <w:rsid w:val="00F45858"/>
    <w:rsid w:val="00F46117"/>
    <w:rsid w:val="00F46387"/>
    <w:rsid w:val="00F476B6"/>
    <w:rsid w:val="00F5032F"/>
    <w:rsid w:val="00F52556"/>
    <w:rsid w:val="00F52889"/>
    <w:rsid w:val="00F52D6E"/>
    <w:rsid w:val="00F52E56"/>
    <w:rsid w:val="00F52F6A"/>
    <w:rsid w:val="00F53AC3"/>
    <w:rsid w:val="00F53BD8"/>
    <w:rsid w:val="00F54808"/>
    <w:rsid w:val="00F54AAE"/>
    <w:rsid w:val="00F55C51"/>
    <w:rsid w:val="00F5637C"/>
    <w:rsid w:val="00F5697C"/>
    <w:rsid w:val="00F57085"/>
    <w:rsid w:val="00F60682"/>
    <w:rsid w:val="00F606CB"/>
    <w:rsid w:val="00F611F1"/>
    <w:rsid w:val="00F61B33"/>
    <w:rsid w:val="00F62CE9"/>
    <w:rsid w:val="00F63745"/>
    <w:rsid w:val="00F6417C"/>
    <w:rsid w:val="00F641A3"/>
    <w:rsid w:val="00F643BD"/>
    <w:rsid w:val="00F64615"/>
    <w:rsid w:val="00F646A2"/>
    <w:rsid w:val="00F654EE"/>
    <w:rsid w:val="00F658E8"/>
    <w:rsid w:val="00F6635E"/>
    <w:rsid w:val="00F67663"/>
    <w:rsid w:val="00F721BE"/>
    <w:rsid w:val="00F725A4"/>
    <w:rsid w:val="00F72B63"/>
    <w:rsid w:val="00F7399F"/>
    <w:rsid w:val="00F73D87"/>
    <w:rsid w:val="00F74359"/>
    <w:rsid w:val="00F74395"/>
    <w:rsid w:val="00F74843"/>
    <w:rsid w:val="00F7553F"/>
    <w:rsid w:val="00F7576E"/>
    <w:rsid w:val="00F76648"/>
    <w:rsid w:val="00F770AD"/>
    <w:rsid w:val="00F772F2"/>
    <w:rsid w:val="00F775B6"/>
    <w:rsid w:val="00F77663"/>
    <w:rsid w:val="00F7788F"/>
    <w:rsid w:val="00F77943"/>
    <w:rsid w:val="00F80380"/>
    <w:rsid w:val="00F80445"/>
    <w:rsid w:val="00F806FF"/>
    <w:rsid w:val="00F808C2"/>
    <w:rsid w:val="00F80951"/>
    <w:rsid w:val="00F80BFE"/>
    <w:rsid w:val="00F80CB0"/>
    <w:rsid w:val="00F80E70"/>
    <w:rsid w:val="00F820DC"/>
    <w:rsid w:val="00F82A83"/>
    <w:rsid w:val="00F84A4C"/>
    <w:rsid w:val="00F84D1F"/>
    <w:rsid w:val="00F84F3A"/>
    <w:rsid w:val="00F85D34"/>
    <w:rsid w:val="00F861F0"/>
    <w:rsid w:val="00F8684D"/>
    <w:rsid w:val="00F8759D"/>
    <w:rsid w:val="00F87F11"/>
    <w:rsid w:val="00F87F53"/>
    <w:rsid w:val="00F908B3"/>
    <w:rsid w:val="00F9159F"/>
    <w:rsid w:val="00F91E0B"/>
    <w:rsid w:val="00F9219C"/>
    <w:rsid w:val="00F93BDF"/>
    <w:rsid w:val="00F94066"/>
    <w:rsid w:val="00F94D3D"/>
    <w:rsid w:val="00F95676"/>
    <w:rsid w:val="00F95980"/>
    <w:rsid w:val="00F97362"/>
    <w:rsid w:val="00F97B2F"/>
    <w:rsid w:val="00FA125A"/>
    <w:rsid w:val="00FA1416"/>
    <w:rsid w:val="00FA2E39"/>
    <w:rsid w:val="00FA3719"/>
    <w:rsid w:val="00FA3747"/>
    <w:rsid w:val="00FA38B7"/>
    <w:rsid w:val="00FA42DA"/>
    <w:rsid w:val="00FA4D37"/>
    <w:rsid w:val="00FA5517"/>
    <w:rsid w:val="00FA5C78"/>
    <w:rsid w:val="00FA61F1"/>
    <w:rsid w:val="00FA7146"/>
    <w:rsid w:val="00FA77A7"/>
    <w:rsid w:val="00FB0288"/>
    <w:rsid w:val="00FB0DDF"/>
    <w:rsid w:val="00FB0E39"/>
    <w:rsid w:val="00FB2861"/>
    <w:rsid w:val="00FB2AFE"/>
    <w:rsid w:val="00FB3AD4"/>
    <w:rsid w:val="00FB436B"/>
    <w:rsid w:val="00FB515E"/>
    <w:rsid w:val="00FB54C6"/>
    <w:rsid w:val="00FB54DF"/>
    <w:rsid w:val="00FB5B6C"/>
    <w:rsid w:val="00FB5B70"/>
    <w:rsid w:val="00FB649D"/>
    <w:rsid w:val="00FB665D"/>
    <w:rsid w:val="00FB6835"/>
    <w:rsid w:val="00FB747E"/>
    <w:rsid w:val="00FB77A2"/>
    <w:rsid w:val="00FC05A1"/>
    <w:rsid w:val="00FC09A9"/>
    <w:rsid w:val="00FC0EE7"/>
    <w:rsid w:val="00FC175D"/>
    <w:rsid w:val="00FC1BB3"/>
    <w:rsid w:val="00FC1F04"/>
    <w:rsid w:val="00FC20BA"/>
    <w:rsid w:val="00FC248D"/>
    <w:rsid w:val="00FC367E"/>
    <w:rsid w:val="00FC3E93"/>
    <w:rsid w:val="00FC43E1"/>
    <w:rsid w:val="00FC4AB2"/>
    <w:rsid w:val="00FC4CC6"/>
    <w:rsid w:val="00FC5DBB"/>
    <w:rsid w:val="00FC5FB1"/>
    <w:rsid w:val="00FC61A3"/>
    <w:rsid w:val="00FC7221"/>
    <w:rsid w:val="00FC7413"/>
    <w:rsid w:val="00FD04C9"/>
    <w:rsid w:val="00FD07AE"/>
    <w:rsid w:val="00FD1694"/>
    <w:rsid w:val="00FD1E28"/>
    <w:rsid w:val="00FD22E7"/>
    <w:rsid w:val="00FD2653"/>
    <w:rsid w:val="00FD2F92"/>
    <w:rsid w:val="00FD32C1"/>
    <w:rsid w:val="00FD38CE"/>
    <w:rsid w:val="00FD3B95"/>
    <w:rsid w:val="00FD4A96"/>
    <w:rsid w:val="00FD4C51"/>
    <w:rsid w:val="00FD5C39"/>
    <w:rsid w:val="00FE0D92"/>
    <w:rsid w:val="00FE2927"/>
    <w:rsid w:val="00FE32FA"/>
    <w:rsid w:val="00FE36CC"/>
    <w:rsid w:val="00FE4BBE"/>
    <w:rsid w:val="00FE7FFC"/>
    <w:rsid w:val="00FF073D"/>
    <w:rsid w:val="00FF0858"/>
    <w:rsid w:val="00FF1B4C"/>
    <w:rsid w:val="00FF30BB"/>
    <w:rsid w:val="00FF40D9"/>
    <w:rsid w:val="00FF4F5E"/>
    <w:rsid w:val="00FF52C4"/>
    <w:rsid w:val="00FF656B"/>
    <w:rsid w:val="00FF65E5"/>
    <w:rsid w:val="00FF6B0B"/>
    <w:rsid w:val="00FF6F14"/>
    <w:rsid w:val="00FF7319"/>
    <w:rsid w:val="0278D638"/>
    <w:rsid w:val="0C2EB164"/>
    <w:rsid w:val="103A4541"/>
    <w:rsid w:val="15DD4DCF"/>
    <w:rsid w:val="16B6171F"/>
    <w:rsid w:val="1848E36E"/>
    <w:rsid w:val="19057067"/>
    <w:rsid w:val="1C70AAFA"/>
    <w:rsid w:val="1D3F8B26"/>
    <w:rsid w:val="2206C85E"/>
    <w:rsid w:val="28F4B15A"/>
    <w:rsid w:val="2A6AB8AF"/>
    <w:rsid w:val="2C6128CB"/>
    <w:rsid w:val="2E64DEA8"/>
    <w:rsid w:val="3037F93C"/>
    <w:rsid w:val="3CD8EB7F"/>
    <w:rsid w:val="3F2F6E0A"/>
    <w:rsid w:val="452CEC2B"/>
    <w:rsid w:val="521F51D8"/>
    <w:rsid w:val="596EDB88"/>
    <w:rsid w:val="66F09722"/>
    <w:rsid w:val="77552E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D05770"/>
  <w15:chartTrackingRefBased/>
  <w15:docId w15:val="{6329F823-C04D-44E8-9BF9-942F5D52F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133C"/>
    <w:pPr>
      <w:spacing w:line="279" w:lineRule="auto"/>
    </w:pPr>
    <w:rPr>
      <w:rFonts w:eastAsiaTheme="minorEastAsia"/>
      <w:sz w:val="20"/>
      <w:szCs w:val="24"/>
      <w:lang w:eastAsia="ja-JP"/>
    </w:rPr>
  </w:style>
  <w:style w:type="paragraph" w:styleId="Heading1">
    <w:name w:val="heading 1"/>
    <w:basedOn w:val="Normal"/>
    <w:next w:val="Normal"/>
    <w:link w:val="Heading1Char"/>
    <w:uiPriority w:val="9"/>
    <w:qFormat/>
    <w:rsid w:val="00E15760"/>
    <w:pPr>
      <w:keepNext/>
      <w:keepLines/>
      <w:widowControl w:val="0"/>
      <w:suppressAutoHyphens/>
      <w:autoSpaceDE w:val="0"/>
      <w:autoSpaceDN w:val="0"/>
      <w:adjustRightInd w:val="0"/>
      <w:spacing w:before="120" w:after="120" w:line="300" w:lineRule="atLeast"/>
      <w:textAlignment w:val="center"/>
      <w:outlineLvl w:val="0"/>
    </w:pPr>
    <w:rPr>
      <w:rFonts w:asciiTheme="majorHAnsi" w:eastAsiaTheme="majorEastAsia" w:hAnsiTheme="majorHAnsi" w:cstheme="majorBidi"/>
      <w:b/>
      <w:color w:val="4970B7" w:themeColor="accent3"/>
      <w:sz w:val="48"/>
      <w:szCs w:val="32"/>
    </w:rPr>
  </w:style>
  <w:style w:type="paragraph" w:styleId="Heading2">
    <w:name w:val="heading 2"/>
    <w:basedOn w:val="Normal"/>
    <w:next w:val="Normal"/>
    <w:link w:val="Heading2Char"/>
    <w:uiPriority w:val="9"/>
    <w:unhideWhenUsed/>
    <w:qFormat/>
    <w:rsid w:val="003D03EA"/>
    <w:pPr>
      <w:keepNext/>
      <w:keepLines/>
      <w:widowControl w:val="0"/>
      <w:suppressAutoHyphens/>
      <w:autoSpaceDE w:val="0"/>
      <w:autoSpaceDN w:val="0"/>
      <w:adjustRightInd w:val="0"/>
      <w:spacing w:before="120" w:after="120" w:line="280" w:lineRule="atLeast"/>
      <w:textAlignment w:val="center"/>
      <w:outlineLvl w:val="1"/>
    </w:pPr>
    <w:rPr>
      <w:rFonts w:asciiTheme="majorHAnsi" w:eastAsiaTheme="majorEastAsia" w:hAnsiTheme="majorHAnsi" w:cstheme="majorBidi"/>
      <w:b/>
      <w:bCs/>
      <w:color w:val="528133" w:themeColor="accent1" w:themeShade="BF"/>
      <w:sz w:val="32"/>
      <w:szCs w:val="26"/>
    </w:rPr>
  </w:style>
  <w:style w:type="paragraph" w:styleId="Heading3">
    <w:name w:val="heading 3"/>
    <w:basedOn w:val="Normal"/>
    <w:next w:val="Normal"/>
    <w:link w:val="Heading3Char"/>
    <w:uiPriority w:val="9"/>
    <w:unhideWhenUsed/>
    <w:qFormat/>
    <w:rsid w:val="00E74AA8"/>
    <w:pPr>
      <w:keepNext/>
      <w:keepLines/>
      <w:widowControl w:val="0"/>
      <w:suppressAutoHyphens/>
      <w:autoSpaceDE w:val="0"/>
      <w:autoSpaceDN w:val="0"/>
      <w:adjustRightInd w:val="0"/>
      <w:spacing w:before="120" w:after="120" w:line="240" w:lineRule="atLeast"/>
      <w:textAlignment w:val="center"/>
      <w:outlineLvl w:val="2"/>
    </w:pPr>
    <w:rPr>
      <w:rFonts w:asciiTheme="majorHAnsi" w:eastAsiaTheme="majorEastAsia" w:hAnsiTheme="majorHAnsi" w:cstheme="majorBidi"/>
      <w:b/>
      <w:bCs/>
      <w:color w:val="332F2E" w:themeColor="accent4"/>
      <w:sz w:val="28"/>
    </w:rPr>
  </w:style>
  <w:style w:type="paragraph" w:styleId="Heading4">
    <w:name w:val="heading 4"/>
    <w:basedOn w:val="Normal"/>
    <w:next w:val="Normal"/>
    <w:link w:val="Heading4Char"/>
    <w:uiPriority w:val="9"/>
    <w:unhideWhenUsed/>
    <w:qFormat/>
    <w:rsid w:val="007315CB"/>
    <w:pPr>
      <w:keepNext/>
      <w:keepLines/>
      <w:widowControl w:val="0"/>
      <w:suppressAutoHyphens/>
      <w:autoSpaceDE w:val="0"/>
      <w:autoSpaceDN w:val="0"/>
      <w:adjustRightInd w:val="0"/>
      <w:spacing w:before="120" w:after="120" w:line="240" w:lineRule="atLeast"/>
      <w:textAlignment w:val="center"/>
      <w:outlineLvl w:val="3"/>
    </w:pPr>
    <w:rPr>
      <w:rFonts w:asciiTheme="majorHAnsi" w:eastAsiaTheme="majorEastAsia" w:hAnsiTheme="majorHAnsi" w:cstheme="majorBidi"/>
      <w:i/>
      <w:iCs/>
      <w:color w:val="4970B7" w:themeColor="accent3"/>
      <w:szCs w:val="18"/>
    </w:rPr>
  </w:style>
  <w:style w:type="paragraph" w:styleId="Heading5">
    <w:name w:val="heading 5"/>
    <w:basedOn w:val="Normal"/>
    <w:next w:val="Normal"/>
    <w:link w:val="Heading5Char"/>
    <w:uiPriority w:val="9"/>
    <w:unhideWhenUsed/>
    <w:rsid w:val="007D0933"/>
    <w:pPr>
      <w:keepNext/>
      <w:keepLines/>
      <w:spacing w:after="0" w:line="240" w:lineRule="atLeast"/>
      <w:outlineLvl w:val="4"/>
    </w:pPr>
    <w:rPr>
      <w:rFonts w:asciiTheme="majorHAnsi" w:eastAsiaTheme="majorEastAsia" w:hAnsiTheme="majorHAnsi" w:cstheme="majorBidi"/>
      <w:b/>
      <w:caps/>
      <w:color w:val="404040" w:themeColor="text1" w:themeTint="BF"/>
    </w:rPr>
  </w:style>
  <w:style w:type="paragraph" w:styleId="Heading6">
    <w:name w:val="heading 6"/>
    <w:basedOn w:val="Normal"/>
    <w:next w:val="Normal"/>
    <w:link w:val="Heading6Char"/>
    <w:uiPriority w:val="9"/>
    <w:unhideWhenUsed/>
    <w:rsid w:val="007D0933"/>
    <w:pPr>
      <w:keepNext/>
      <w:keepLines/>
      <w:spacing w:after="0" w:line="240" w:lineRule="atLeast"/>
      <w:outlineLvl w:val="5"/>
    </w:pPr>
    <w:rPr>
      <w:rFonts w:asciiTheme="majorHAnsi" w:eastAsiaTheme="majorEastAsia" w:hAnsiTheme="majorHAnsi" w:cstheme="majorBidi"/>
      <w:b/>
      <w:color w:val="FFFFFF" w:themeColor="background2"/>
    </w:rPr>
  </w:style>
  <w:style w:type="paragraph" w:styleId="Heading7">
    <w:name w:val="heading 7"/>
    <w:basedOn w:val="Normal"/>
    <w:next w:val="Normal"/>
    <w:link w:val="Heading7Char"/>
    <w:uiPriority w:val="9"/>
    <w:unhideWhenUsed/>
    <w:rsid w:val="007D0933"/>
    <w:pPr>
      <w:keepNext/>
      <w:keepLines/>
      <w:spacing w:after="0" w:line="240" w:lineRule="atLeast"/>
      <w:outlineLvl w:val="6"/>
    </w:pPr>
    <w:rPr>
      <w:rFonts w:asciiTheme="majorHAnsi" w:eastAsiaTheme="majorEastAsia" w:hAnsiTheme="majorHAnsi" w:cstheme="majorBidi"/>
      <w:b/>
      <w:iCs/>
      <w:color w:val="6FAD45" w:themeColor="accent1"/>
    </w:rPr>
  </w:style>
  <w:style w:type="paragraph" w:styleId="Heading8">
    <w:name w:val="heading 8"/>
    <w:basedOn w:val="Normal"/>
    <w:next w:val="Normal"/>
    <w:link w:val="Heading8Char"/>
    <w:uiPriority w:val="9"/>
    <w:unhideWhenUsed/>
    <w:rsid w:val="007D0933"/>
    <w:pPr>
      <w:keepNext/>
      <w:keepLines/>
      <w:spacing w:after="0" w:line="240" w:lineRule="atLeast"/>
      <w:outlineLvl w:val="7"/>
    </w:pPr>
    <w:rPr>
      <w:rFonts w:asciiTheme="majorHAnsi" w:eastAsiaTheme="majorEastAsia" w:hAnsiTheme="majorHAnsi" w:cstheme="majorBidi"/>
      <w:b/>
      <w:color w:val="FFD967" w:themeColor="accent2"/>
      <w:szCs w:val="21"/>
    </w:rPr>
  </w:style>
  <w:style w:type="paragraph" w:styleId="Heading9">
    <w:name w:val="heading 9"/>
    <w:basedOn w:val="Normal"/>
    <w:next w:val="Normal"/>
    <w:link w:val="Heading9Char"/>
    <w:uiPriority w:val="9"/>
    <w:unhideWhenUsed/>
    <w:rsid w:val="007D0933"/>
    <w:pPr>
      <w:keepNext/>
      <w:keepLines/>
      <w:spacing w:after="0" w:line="240" w:lineRule="atLeast"/>
      <w:outlineLvl w:val="8"/>
    </w:pPr>
    <w:rPr>
      <w:rFonts w:asciiTheme="majorHAnsi" w:eastAsiaTheme="majorEastAsia" w:hAnsiTheme="majorHAnsi" w:cstheme="majorBidi"/>
      <w:b/>
      <w:iCs/>
      <w:color w:val="4970B7" w:themeColor="accent3"/>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D0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7D0933"/>
    <w:pPr>
      <w:tabs>
        <w:tab w:val="center" w:pos="4680"/>
        <w:tab w:val="right" w:pos="9360"/>
      </w:tabs>
      <w:spacing w:after="0"/>
    </w:pPr>
  </w:style>
  <w:style w:type="paragraph" w:customStyle="1" w:styleId="R-ExpHighlightText">
    <w:name w:val="R - Exp Highlight Text"/>
    <w:uiPriority w:val="99"/>
    <w:rsid w:val="00AC65F4"/>
    <w:pPr>
      <w:widowControl w:val="0"/>
      <w:suppressAutoHyphens/>
      <w:spacing w:after="120" w:line="200" w:lineRule="atLeast"/>
      <w:ind w:left="360"/>
    </w:pPr>
    <w:rPr>
      <w:rFonts w:eastAsiaTheme="minorEastAsia" w:cs="Open Sans Light"/>
      <w:color w:val="262626" w:themeColor="text1" w:themeTint="D9"/>
      <w:sz w:val="16"/>
      <w:szCs w:val="16"/>
    </w:rPr>
  </w:style>
  <w:style w:type="character" w:customStyle="1" w:styleId="Heading2Char">
    <w:name w:val="Heading 2 Char"/>
    <w:basedOn w:val="DefaultParagraphFont"/>
    <w:link w:val="Heading2"/>
    <w:uiPriority w:val="9"/>
    <w:rsid w:val="003D03EA"/>
    <w:rPr>
      <w:rFonts w:asciiTheme="majorHAnsi" w:eastAsiaTheme="majorEastAsia" w:hAnsiTheme="majorHAnsi" w:cstheme="majorBidi"/>
      <w:b/>
      <w:bCs/>
      <w:color w:val="528133" w:themeColor="accent1" w:themeShade="BF"/>
      <w:sz w:val="32"/>
      <w:szCs w:val="26"/>
      <w:lang w:eastAsia="ja-JP"/>
    </w:rPr>
  </w:style>
  <w:style w:type="paragraph" w:customStyle="1" w:styleId="R-ExpHighlightHeader">
    <w:name w:val="R - Exp Highlight Header"/>
    <w:basedOn w:val="R-ExpHighlightText"/>
    <w:uiPriority w:val="99"/>
    <w:rsid w:val="007D0933"/>
    <w:pPr>
      <w:numPr>
        <w:numId w:val="1"/>
      </w:numPr>
      <w:tabs>
        <w:tab w:val="left" w:pos="380"/>
      </w:tabs>
      <w:spacing w:before="240" w:after="0"/>
      <w:ind w:left="360" w:hanging="216"/>
    </w:pPr>
    <w:rPr>
      <w:rFonts w:asciiTheme="majorHAnsi" w:hAnsiTheme="majorHAnsi" w:cs="Open Sans"/>
      <w:b/>
      <w:bCs/>
      <w:caps/>
      <w:color w:val="FFFFFF" w:themeColor="background2"/>
    </w:rPr>
  </w:style>
  <w:style w:type="character" w:customStyle="1" w:styleId="FooterChar">
    <w:name w:val="Footer Char"/>
    <w:basedOn w:val="DefaultParagraphFont"/>
    <w:link w:val="Footer"/>
    <w:uiPriority w:val="99"/>
    <w:rsid w:val="007D0933"/>
    <w:rPr>
      <w:color w:val="000000" w:themeColor="text1"/>
      <w:sz w:val="20"/>
    </w:rPr>
  </w:style>
  <w:style w:type="paragraph" w:customStyle="1" w:styleId="R-Header-EmpNameCred">
    <w:name w:val="R - Header - Emp Name/Cred"/>
    <w:uiPriority w:val="99"/>
    <w:rsid w:val="00AC65F4"/>
    <w:pPr>
      <w:widowControl w:val="0"/>
      <w:suppressAutoHyphens/>
      <w:spacing w:after="0" w:line="280" w:lineRule="atLeast"/>
    </w:pPr>
    <w:rPr>
      <w:rFonts w:asciiTheme="majorHAnsi" w:eastAsiaTheme="minorEastAsia" w:hAnsiTheme="majorHAnsi" w:cs="Open Sans"/>
      <w:b/>
      <w:bCs/>
      <w:color w:val="FFFFFF" w:themeColor="background2"/>
      <w:sz w:val="24"/>
      <w:szCs w:val="24"/>
    </w:rPr>
  </w:style>
  <w:style w:type="paragraph" w:customStyle="1" w:styleId="R-Position">
    <w:name w:val="R - Position"/>
    <w:uiPriority w:val="99"/>
    <w:rsid w:val="00AC65F4"/>
    <w:pPr>
      <w:widowControl w:val="0"/>
      <w:suppressAutoHyphens/>
      <w:spacing w:after="240" w:line="240" w:lineRule="atLeast"/>
    </w:pPr>
    <w:rPr>
      <w:rFonts w:asciiTheme="majorHAnsi" w:eastAsiaTheme="minorEastAsia" w:hAnsiTheme="majorHAnsi" w:cs="Open Sans"/>
      <w:b/>
      <w:bCs/>
      <w:caps/>
      <w:color w:val="000000" w:themeColor="text2"/>
      <w:sz w:val="21"/>
      <w:szCs w:val="21"/>
    </w:rPr>
  </w:style>
  <w:style w:type="character" w:customStyle="1" w:styleId="R-Credentials">
    <w:name w:val="R - Credentials"/>
    <w:uiPriority w:val="99"/>
    <w:rsid w:val="00AC65F4"/>
    <w:rPr>
      <w:caps/>
      <w:sz w:val="20"/>
      <w:szCs w:val="20"/>
    </w:rPr>
  </w:style>
  <w:style w:type="paragraph" w:customStyle="1" w:styleId="R-RelevantExperienceSubhead">
    <w:name w:val="R - Relevant Experience Subhead"/>
    <w:basedOn w:val="Normal"/>
    <w:uiPriority w:val="99"/>
    <w:rsid w:val="00C76EA7"/>
    <w:pPr>
      <w:suppressAutoHyphens/>
      <w:spacing w:after="0"/>
    </w:pPr>
    <w:rPr>
      <w:rFonts w:asciiTheme="majorHAnsi" w:hAnsiTheme="majorHAnsi" w:cs="Open Sans"/>
      <w:b/>
      <w:bCs/>
      <w:color w:val="FFD967" w:themeColor="accent2"/>
      <w:szCs w:val="18"/>
    </w:rPr>
  </w:style>
  <w:style w:type="paragraph" w:customStyle="1" w:styleId="HF-Title">
    <w:name w:val="H/F - Title"/>
    <w:basedOn w:val="Normal"/>
    <w:rsid w:val="007D0933"/>
    <w:pPr>
      <w:autoSpaceDE w:val="0"/>
      <w:autoSpaceDN w:val="0"/>
      <w:adjustRightInd w:val="0"/>
      <w:spacing w:after="0" w:line="288" w:lineRule="auto"/>
      <w:ind w:left="-360"/>
      <w:textAlignment w:val="center"/>
    </w:pPr>
    <w:rPr>
      <w:rFonts w:cs="Proxima Nova Light"/>
      <w:caps/>
      <w:color w:val="404040" w:themeColor="text1" w:themeTint="BF"/>
      <w:spacing w:val="8"/>
      <w:sz w:val="16"/>
      <w:szCs w:val="16"/>
    </w:rPr>
  </w:style>
  <w:style w:type="paragraph" w:customStyle="1" w:styleId="HF-RFP">
    <w:name w:val="H/F - RFP #"/>
    <w:basedOn w:val="Normal"/>
    <w:rsid w:val="007D0933"/>
    <w:pPr>
      <w:tabs>
        <w:tab w:val="center" w:pos="4680"/>
        <w:tab w:val="right" w:pos="9360"/>
      </w:tabs>
      <w:spacing w:after="0"/>
      <w:ind w:left="-360"/>
    </w:pPr>
    <w:rPr>
      <w:rFonts w:ascii="Arial Black" w:hAnsi="Arial Black" w:cs="Proxima Nova Extrabold"/>
      <w:caps/>
      <w:color w:val="000000" w:themeColor="text2" w:themeShade="BF"/>
      <w:spacing w:val="8"/>
      <w:sz w:val="16"/>
      <w:szCs w:val="16"/>
    </w:rPr>
  </w:style>
  <w:style w:type="paragraph" w:customStyle="1" w:styleId="HF-ConfidentialityStatement">
    <w:name w:val="H/F - Confidentiality Statement"/>
    <w:rsid w:val="007D0933"/>
    <w:pPr>
      <w:ind w:left="427" w:firstLine="10"/>
    </w:pPr>
    <w:rPr>
      <w:rFonts w:ascii="Arial Narrow" w:hAnsi="Arial Narrow" w:cs="Open Sans Light"/>
      <w:caps/>
      <w:color w:val="262626" w:themeColor="text1" w:themeTint="D9"/>
      <w:spacing w:val="2"/>
      <w:kern w:val="13"/>
      <w:sz w:val="13"/>
      <w:szCs w:val="12"/>
    </w:rPr>
  </w:style>
  <w:style w:type="paragraph" w:customStyle="1" w:styleId="R-Header-EmpNameCred-LineAbove">
    <w:name w:val="R - Header - Emp Name/Cred - Line Above"/>
    <w:uiPriority w:val="99"/>
    <w:rsid w:val="00AC65F4"/>
    <w:pPr>
      <w:widowControl w:val="0"/>
      <w:pBdr>
        <w:top w:val="dotted" w:sz="4" w:space="16" w:color="auto"/>
      </w:pBdr>
      <w:suppressAutoHyphens/>
      <w:spacing w:before="360" w:after="0" w:line="280" w:lineRule="atLeast"/>
    </w:pPr>
    <w:rPr>
      <w:rFonts w:ascii="Arial" w:eastAsiaTheme="minorEastAsia" w:hAnsi="Arial" w:cs="Open Sans"/>
      <w:b/>
      <w:bCs/>
      <w:color w:val="7A003F"/>
      <w:sz w:val="24"/>
      <w:szCs w:val="24"/>
    </w:rPr>
  </w:style>
  <w:style w:type="paragraph" w:customStyle="1" w:styleId="T-SkillHighlight">
    <w:name w:val="T - Skill Highlight"/>
    <w:uiPriority w:val="99"/>
    <w:rsid w:val="00844B2E"/>
    <w:pPr>
      <w:widowControl w:val="0"/>
      <w:suppressAutoHyphens/>
      <w:spacing w:before="180" w:line="220" w:lineRule="atLeast"/>
    </w:pPr>
    <w:rPr>
      <w:rFonts w:ascii="Arial" w:eastAsiaTheme="minorEastAsia" w:hAnsi="Arial" w:cs="Open Sans Light"/>
      <w:color w:val="6FAD45" w:themeColor="accent1"/>
      <w:sz w:val="18"/>
      <w:szCs w:val="18"/>
    </w:rPr>
  </w:style>
  <w:style w:type="paragraph" w:customStyle="1" w:styleId="T-Header">
    <w:name w:val="T - Header"/>
    <w:uiPriority w:val="99"/>
    <w:rsid w:val="002C78E3"/>
    <w:pPr>
      <w:widowControl w:val="0"/>
      <w:spacing w:before="40" w:after="40"/>
    </w:pPr>
    <w:rPr>
      <w:rFonts w:ascii="Arial" w:eastAsiaTheme="minorEastAsia" w:hAnsi="Arial" w:cs="Open Sans"/>
      <w:b/>
      <w:bCs/>
      <w:caps/>
      <w:color w:val="FFFFFF"/>
      <w:sz w:val="20"/>
      <w:szCs w:val="20"/>
    </w:rPr>
  </w:style>
  <w:style w:type="paragraph" w:customStyle="1" w:styleId="T-YRS">
    <w:name w:val="T - YRS"/>
    <w:aliases w:val="CLASS,EDU"/>
    <w:uiPriority w:val="99"/>
    <w:rsid w:val="00844B2E"/>
    <w:pPr>
      <w:widowControl w:val="0"/>
      <w:suppressAutoHyphens/>
      <w:spacing w:line="200" w:lineRule="atLeast"/>
    </w:pPr>
    <w:rPr>
      <w:rFonts w:ascii="Arial" w:eastAsiaTheme="minorEastAsia" w:hAnsi="Arial" w:cs="Open Sans"/>
      <w:color w:val="000000" w:themeColor="text1"/>
      <w:sz w:val="14"/>
      <w:szCs w:val="14"/>
    </w:rPr>
  </w:style>
  <w:style w:type="paragraph" w:customStyle="1" w:styleId="T-NameLocation">
    <w:name w:val="T - Name/Location"/>
    <w:uiPriority w:val="99"/>
    <w:rsid w:val="002C78E3"/>
    <w:pPr>
      <w:widowControl w:val="0"/>
      <w:suppressAutoHyphens/>
      <w:spacing w:before="80" w:after="80" w:line="200" w:lineRule="atLeast"/>
    </w:pPr>
    <w:rPr>
      <w:rFonts w:ascii="Arial" w:eastAsiaTheme="minorEastAsia" w:hAnsi="Arial" w:cs="Open Sans"/>
      <w:color w:val="000000" w:themeColor="text2"/>
      <w:sz w:val="16"/>
      <w:szCs w:val="16"/>
    </w:rPr>
  </w:style>
  <w:style w:type="character" w:customStyle="1" w:styleId="T-YRS1">
    <w:name w:val="T - YRS1"/>
    <w:aliases w:val="CLASS1,EDU header"/>
    <w:uiPriority w:val="99"/>
    <w:rsid w:val="00E20DC2"/>
    <w:rPr>
      <w:rFonts w:ascii="Arial" w:hAnsi="Arial" w:cs="Open Sans"/>
      <w:b/>
      <w:bCs/>
      <w:caps/>
      <w:color w:val="000000" w:themeColor="text2"/>
      <w:spacing w:val="0"/>
      <w:sz w:val="14"/>
      <w:szCs w:val="14"/>
      <w:u w:val="none"/>
      <w:vertAlign w:val="baseline"/>
    </w:rPr>
  </w:style>
  <w:style w:type="character" w:customStyle="1" w:styleId="T-NameBold">
    <w:name w:val="T - Name Bold"/>
    <w:uiPriority w:val="99"/>
    <w:rsid w:val="002C78E3"/>
    <w:rPr>
      <w:rFonts w:ascii="Arial" w:hAnsi="Arial"/>
      <w:b/>
      <w:bCs/>
      <w:i w:val="0"/>
      <w:caps w:val="0"/>
      <w:smallCaps w:val="0"/>
      <w:strike w:val="0"/>
      <w:dstrike w:val="0"/>
      <w:vanish w:val="0"/>
      <w:color w:val="000000" w:themeColor="text2"/>
      <w:sz w:val="18"/>
      <w:vertAlign w:val="baseline"/>
    </w:rPr>
  </w:style>
  <w:style w:type="paragraph" w:customStyle="1" w:styleId="T-Bullets">
    <w:name w:val="T - Bullets"/>
    <w:uiPriority w:val="99"/>
    <w:rsid w:val="00E20DC2"/>
    <w:pPr>
      <w:widowControl w:val="0"/>
      <w:numPr>
        <w:numId w:val="2"/>
      </w:numPr>
      <w:tabs>
        <w:tab w:val="left" w:pos="270"/>
      </w:tabs>
      <w:suppressAutoHyphens/>
      <w:spacing w:after="120" w:line="200" w:lineRule="atLeast"/>
      <w:ind w:left="288" w:hanging="144"/>
    </w:pPr>
    <w:rPr>
      <w:rFonts w:eastAsiaTheme="minorEastAsia" w:cs="Open Sans Light"/>
      <w:color w:val="000000" w:themeColor="text1"/>
      <w:sz w:val="16"/>
      <w:szCs w:val="16"/>
    </w:rPr>
  </w:style>
  <w:style w:type="paragraph" w:customStyle="1" w:styleId="R-EmpName-small">
    <w:name w:val="R - Emp Name - small"/>
    <w:uiPriority w:val="99"/>
    <w:rsid w:val="00AC65F4"/>
    <w:pPr>
      <w:widowControl w:val="0"/>
      <w:suppressAutoHyphens/>
      <w:autoSpaceDE w:val="0"/>
      <w:autoSpaceDN w:val="0"/>
      <w:adjustRightInd w:val="0"/>
      <w:spacing w:after="0" w:line="240" w:lineRule="atLeast"/>
      <w:textAlignment w:val="center"/>
    </w:pPr>
    <w:rPr>
      <w:rFonts w:asciiTheme="majorHAnsi" w:eastAsiaTheme="minorEastAsia" w:hAnsiTheme="majorHAnsi" w:cs="Open Sans"/>
      <w:b/>
      <w:bCs/>
      <w:color w:val="FFFFFF" w:themeColor="background2"/>
      <w:sz w:val="20"/>
      <w:szCs w:val="20"/>
    </w:rPr>
  </w:style>
  <w:style w:type="paragraph" w:customStyle="1" w:styleId="R-Position-small">
    <w:name w:val="R - Position - small"/>
    <w:uiPriority w:val="99"/>
    <w:rsid w:val="00AC65F4"/>
    <w:pPr>
      <w:widowControl w:val="0"/>
      <w:suppressAutoHyphens/>
      <w:autoSpaceDE w:val="0"/>
      <w:autoSpaceDN w:val="0"/>
      <w:adjustRightInd w:val="0"/>
      <w:spacing w:after="90" w:line="260" w:lineRule="atLeast"/>
      <w:textAlignment w:val="center"/>
    </w:pPr>
    <w:rPr>
      <w:rFonts w:asciiTheme="majorHAnsi" w:eastAsiaTheme="minorEastAsia" w:hAnsiTheme="majorHAnsi" w:cs="Open Sans"/>
      <w:b/>
      <w:bCs/>
      <w:caps/>
      <w:color w:val="000000" w:themeColor="text2"/>
      <w:sz w:val="18"/>
      <w:szCs w:val="18"/>
    </w:rPr>
  </w:style>
  <w:style w:type="character" w:customStyle="1" w:styleId="R-Credentials-small">
    <w:name w:val="R - Credentials - small"/>
    <w:uiPriority w:val="99"/>
    <w:rsid w:val="00AC65F4"/>
    <w:rPr>
      <w:rFonts w:asciiTheme="majorHAnsi" w:hAnsiTheme="majorHAnsi" w:cs="Open Sans Light"/>
      <w:caps/>
      <w:color w:val="FFFFFF" w:themeColor="background2"/>
      <w:sz w:val="17"/>
      <w:szCs w:val="17"/>
    </w:rPr>
  </w:style>
  <w:style w:type="paragraph" w:customStyle="1" w:styleId="C-Quote">
    <w:name w:val="C - Quote"/>
    <w:basedOn w:val="Normal"/>
    <w:uiPriority w:val="99"/>
    <w:rsid w:val="0066553C"/>
    <w:pPr>
      <w:widowControl w:val="0"/>
      <w:pBdr>
        <w:top w:val="dotted" w:sz="8" w:space="15" w:color="000000"/>
      </w:pBdr>
      <w:suppressAutoHyphens/>
      <w:autoSpaceDE w:val="0"/>
      <w:autoSpaceDN w:val="0"/>
      <w:adjustRightInd w:val="0"/>
      <w:spacing w:before="120" w:after="120" w:line="480" w:lineRule="atLeast"/>
      <w:ind w:left="2520"/>
      <w:textAlignment w:val="center"/>
    </w:pPr>
    <w:rPr>
      <w:rFonts w:asciiTheme="majorHAnsi" w:hAnsiTheme="majorHAnsi" w:cs="Proxima Nova Light"/>
      <w:color w:val="FFD967" w:themeColor="accent2"/>
      <w:sz w:val="38"/>
      <w:szCs w:val="38"/>
    </w:rPr>
  </w:style>
  <w:style w:type="paragraph" w:customStyle="1" w:styleId="C-QuoteName">
    <w:name w:val="C - Quote/Name"/>
    <w:basedOn w:val="Normal"/>
    <w:uiPriority w:val="99"/>
    <w:rsid w:val="00AC65F4"/>
    <w:pPr>
      <w:widowControl w:val="0"/>
      <w:suppressAutoHyphens/>
      <w:autoSpaceDE w:val="0"/>
      <w:autoSpaceDN w:val="0"/>
      <w:adjustRightInd w:val="0"/>
      <w:spacing w:before="120" w:after="0" w:line="280" w:lineRule="atLeast"/>
      <w:jc w:val="right"/>
      <w:textAlignment w:val="center"/>
    </w:pPr>
    <w:rPr>
      <w:rFonts w:asciiTheme="majorHAnsi" w:hAnsiTheme="majorHAnsi" w:cs="Proxima Nova Medium"/>
      <w:caps/>
      <w:color w:val="262626" w:themeColor="text1" w:themeTint="D9"/>
    </w:rPr>
  </w:style>
  <w:style w:type="paragraph" w:customStyle="1" w:styleId="C-QuoteTitle">
    <w:name w:val="C - Quote/Title"/>
    <w:basedOn w:val="C-QuoteName"/>
    <w:uiPriority w:val="99"/>
    <w:rsid w:val="00AC65F4"/>
    <w:pPr>
      <w:spacing w:line="240" w:lineRule="atLeast"/>
    </w:pPr>
    <w:rPr>
      <w:rFonts w:cs="Proxima Nova Light"/>
      <w:szCs w:val="20"/>
    </w:rPr>
  </w:style>
  <w:style w:type="character" w:customStyle="1" w:styleId="Heading1Char">
    <w:name w:val="Heading 1 Char"/>
    <w:basedOn w:val="DefaultParagraphFont"/>
    <w:link w:val="Heading1"/>
    <w:uiPriority w:val="9"/>
    <w:rsid w:val="00E15760"/>
    <w:rPr>
      <w:rFonts w:asciiTheme="majorHAnsi" w:eastAsiaTheme="majorEastAsia" w:hAnsiTheme="majorHAnsi" w:cstheme="majorBidi"/>
      <w:b/>
      <w:color w:val="4970B7" w:themeColor="accent3"/>
      <w:sz w:val="48"/>
      <w:szCs w:val="32"/>
      <w:lang w:eastAsia="ja-JP"/>
    </w:rPr>
  </w:style>
  <w:style w:type="character" w:customStyle="1" w:styleId="Heading3Char">
    <w:name w:val="Heading 3 Char"/>
    <w:basedOn w:val="DefaultParagraphFont"/>
    <w:link w:val="Heading3"/>
    <w:uiPriority w:val="9"/>
    <w:rsid w:val="00E74AA8"/>
    <w:rPr>
      <w:rFonts w:asciiTheme="majorHAnsi" w:eastAsiaTheme="majorEastAsia" w:hAnsiTheme="majorHAnsi" w:cstheme="majorBidi"/>
      <w:b/>
      <w:bCs/>
      <w:color w:val="332F2E" w:themeColor="accent4"/>
      <w:sz w:val="28"/>
      <w:szCs w:val="24"/>
      <w:lang w:eastAsia="ja-JP"/>
    </w:rPr>
  </w:style>
  <w:style w:type="paragraph" w:styleId="Header">
    <w:name w:val="header"/>
    <w:basedOn w:val="Normal"/>
    <w:link w:val="HeaderChar"/>
    <w:uiPriority w:val="99"/>
    <w:unhideWhenUsed/>
    <w:qFormat/>
    <w:rsid w:val="007D0933"/>
    <w:pPr>
      <w:tabs>
        <w:tab w:val="center" w:pos="4680"/>
        <w:tab w:val="right" w:pos="9360"/>
      </w:tabs>
      <w:spacing w:line="520" w:lineRule="atLeast"/>
    </w:pPr>
    <w:rPr>
      <w:rFonts w:asciiTheme="majorHAnsi" w:hAnsiTheme="majorHAnsi"/>
      <w:caps/>
      <w:color w:val="000000" w:themeColor="text2"/>
      <w:spacing w:val="24"/>
      <w:sz w:val="48"/>
      <w:szCs w:val="20"/>
    </w:rPr>
  </w:style>
  <w:style w:type="character" w:customStyle="1" w:styleId="HeaderChar">
    <w:name w:val="Header Char"/>
    <w:basedOn w:val="DefaultParagraphFont"/>
    <w:link w:val="Header"/>
    <w:uiPriority w:val="99"/>
    <w:rsid w:val="007D0933"/>
    <w:rPr>
      <w:rFonts w:asciiTheme="majorHAnsi" w:hAnsiTheme="majorHAnsi"/>
      <w:caps/>
      <w:color w:val="000000" w:themeColor="text2"/>
      <w:spacing w:val="24"/>
      <w:sz w:val="48"/>
      <w:szCs w:val="20"/>
    </w:rPr>
  </w:style>
  <w:style w:type="paragraph" w:styleId="BalloonText">
    <w:name w:val="Balloon Text"/>
    <w:basedOn w:val="Normal"/>
    <w:link w:val="BalloonTextChar"/>
    <w:uiPriority w:val="99"/>
    <w:semiHidden/>
    <w:unhideWhenUsed/>
    <w:rsid w:val="007D093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0933"/>
    <w:rPr>
      <w:rFonts w:ascii="Segoe UI" w:hAnsi="Segoe UI" w:cs="Segoe UI"/>
      <w:color w:val="000000" w:themeColor="text1"/>
      <w:sz w:val="18"/>
      <w:szCs w:val="18"/>
    </w:rPr>
  </w:style>
  <w:style w:type="paragraph" w:customStyle="1" w:styleId="C-SolidBox">
    <w:name w:val="C - Solid Box"/>
    <w:uiPriority w:val="99"/>
    <w:rsid w:val="007D0933"/>
    <w:pPr>
      <w:widowControl w:val="0"/>
      <w:pBdr>
        <w:top w:val="single" w:sz="18" w:space="5" w:color="FFFFFF" w:themeColor="background2"/>
        <w:left w:val="single" w:sz="18" w:space="5" w:color="FFFFFF" w:themeColor="background2"/>
        <w:bottom w:val="single" w:sz="18" w:space="5" w:color="FFFFFF" w:themeColor="background2"/>
        <w:right w:val="single" w:sz="18" w:space="5" w:color="FFFFFF" w:themeColor="background2"/>
      </w:pBdr>
      <w:shd w:val="clear" w:color="auto" w:fill="FFFFFF" w:themeFill="background2"/>
      <w:tabs>
        <w:tab w:val="left" w:pos="288"/>
      </w:tabs>
      <w:suppressAutoHyphens/>
      <w:autoSpaceDE w:val="0"/>
      <w:autoSpaceDN w:val="0"/>
      <w:adjustRightInd w:val="0"/>
      <w:spacing w:before="360" w:after="360" w:line="360" w:lineRule="atLeast"/>
      <w:ind w:left="216"/>
      <w:textAlignment w:val="center"/>
    </w:pPr>
    <w:rPr>
      <w:rFonts w:eastAsiaTheme="minorEastAsia" w:cs="Open Sans Light"/>
      <w:noProof/>
      <w:color w:val="FFFFFF" w:themeColor="background1"/>
      <w:sz w:val="38"/>
      <w:szCs w:val="38"/>
    </w:rPr>
  </w:style>
  <w:style w:type="paragraph" w:customStyle="1" w:styleId="C-Textonly">
    <w:name w:val="C - Text only"/>
    <w:uiPriority w:val="99"/>
    <w:rsid w:val="007D0933"/>
    <w:pPr>
      <w:widowControl w:val="0"/>
      <w:suppressAutoHyphens/>
      <w:autoSpaceDE w:val="0"/>
      <w:autoSpaceDN w:val="0"/>
      <w:adjustRightInd w:val="0"/>
      <w:spacing w:before="120" w:after="240" w:line="480" w:lineRule="atLeast"/>
      <w:textAlignment w:val="center"/>
    </w:pPr>
    <w:rPr>
      <w:rFonts w:eastAsiaTheme="minorEastAsia" w:cs="Open Sans"/>
      <w:color w:val="FFFFFF" w:themeColor="background2"/>
      <w:sz w:val="38"/>
      <w:szCs w:val="38"/>
    </w:rPr>
  </w:style>
  <w:style w:type="paragraph" w:styleId="Caption">
    <w:name w:val="caption"/>
    <w:basedOn w:val="Normal"/>
    <w:next w:val="Normal"/>
    <w:link w:val="CaptionChar"/>
    <w:uiPriority w:val="35"/>
    <w:unhideWhenUsed/>
    <w:qFormat/>
    <w:rsid w:val="00AC65F4"/>
    <w:pPr>
      <w:spacing w:before="240" w:after="120"/>
    </w:pPr>
    <w:rPr>
      <w:color w:val="000000" w:themeColor="text2"/>
      <w:sz w:val="18"/>
      <w:szCs w:val="18"/>
    </w:rPr>
  </w:style>
  <w:style w:type="table" w:styleId="GridTable1Light-Accent3">
    <w:name w:val="Grid Table 1 Light Accent 3"/>
    <w:basedOn w:val="TableNormal"/>
    <w:uiPriority w:val="46"/>
    <w:rsid w:val="007D0933"/>
    <w:pPr>
      <w:spacing w:after="0" w:line="240" w:lineRule="auto"/>
    </w:pPr>
    <w:rPr>
      <w:rFonts w:ascii="Arial" w:hAnsi="Arial"/>
      <w:sz w:val="20"/>
      <w:szCs w:val="20"/>
    </w:rPr>
    <w:tblPr>
      <w:tblStyleRowBandSize w:val="1"/>
      <w:tblStyleColBandSize w:val="1"/>
      <w:tblBorders>
        <w:top w:val="single" w:sz="4" w:space="0" w:color="B6C5E2" w:themeColor="accent3" w:themeTint="66"/>
        <w:left w:val="single" w:sz="4" w:space="0" w:color="B6C5E2" w:themeColor="accent3" w:themeTint="66"/>
        <w:bottom w:val="single" w:sz="4" w:space="0" w:color="B6C5E2" w:themeColor="accent3" w:themeTint="66"/>
        <w:right w:val="single" w:sz="4" w:space="0" w:color="B6C5E2" w:themeColor="accent3" w:themeTint="66"/>
        <w:insideH w:val="single" w:sz="4" w:space="0" w:color="B6C5E2" w:themeColor="accent3" w:themeTint="66"/>
        <w:insideV w:val="single" w:sz="4" w:space="0" w:color="B6C5E2" w:themeColor="accent3" w:themeTint="66"/>
      </w:tblBorders>
    </w:tblPr>
    <w:tblStylePr w:type="firstRow">
      <w:rPr>
        <w:b/>
        <w:bCs/>
      </w:rPr>
      <w:tblPr/>
      <w:tcPr>
        <w:tcBorders>
          <w:bottom w:val="single" w:sz="12" w:space="0" w:color="91A8D3" w:themeColor="accent3" w:themeTint="99"/>
        </w:tcBorders>
      </w:tcPr>
    </w:tblStylePr>
    <w:tblStylePr w:type="lastRow">
      <w:rPr>
        <w:b/>
        <w:bCs/>
      </w:rPr>
      <w:tblPr/>
      <w:tcPr>
        <w:tcBorders>
          <w:top w:val="double" w:sz="2" w:space="0" w:color="91A8D3" w:themeColor="accent3" w:themeTint="99"/>
        </w:tcBorders>
      </w:tcPr>
    </w:tblStylePr>
    <w:tblStylePr w:type="firstCol">
      <w:rPr>
        <w:b/>
        <w:bCs/>
      </w:rPr>
    </w:tblStylePr>
    <w:tblStylePr w:type="lastCol">
      <w:rPr>
        <w:b/>
        <w:bCs/>
      </w:rPr>
    </w:tblStylePr>
  </w:style>
  <w:style w:type="table" w:styleId="GridTable4">
    <w:name w:val="Grid Table 4"/>
    <w:basedOn w:val="TableNormal"/>
    <w:uiPriority w:val="49"/>
    <w:rsid w:val="007D0933"/>
    <w:pPr>
      <w:spacing w:after="0" w:line="240" w:lineRule="auto"/>
    </w:pPr>
    <w:rPr>
      <w:rFonts w:ascii="Arial" w:hAnsi="Arial"/>
      <w:sz w:val="20"/>
      <w:szCs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HF-SectionName">
    <w:name w:val="H/F - Section Name"/>
    <w:basedOn w:val="Normal"/>
    <w:rsid w:val="007D0933"/>
    <w:pPr>
      <w:tabs>
        <w:tab w:val="center" w:pos="389"/>
        <w:tab w:val="right" w:pos="779"/>
      </w:tabs>
      <w:spacing w:after="0"/>
      <w:ind w:left="-24" w:firstLine="24"/>
      <w:jc w:val="right"/>
    </w:pPr>
    <w:rPr>
      <w:rFonts w:cs="Arial"/>
      <w:caps/>
      <w:color w:val="000000" w:themeColor="text2"/>
      <w:spacing w:val="40"/>
      <w:kern w:val="16"/>
      <w:sz w:val="16"/>
      <w:szCs w:val="16"/>
    </w:rPr>
  </w:style>
  <w:style w:type="character" w:customStyle="1" w:styleId="Heading4Char">
    <w:name w:val="Heading 4 Char"/>
    <w:basedOn w:val="DefaultParagraphFont"/>
    <w:link w:val="Heading4"/>
    <w:uiPriority w:val="9"/>
    <w:rsid w:val="007315CB"/>
    <w:rPr>
      <w:rFonts w:asciiTheme="majorHAnsi" w:eastAsiaTheme="majorEastAsia" w:hAnsiTheme="majorHAnsi" w:cstheme="majorBidi"/>
      <w:i/>
      <w:iCs/>
      <w:color w:val="4970B7" w:themeColor="accent3"/>
      <w:sz w:val="20"/>
      <w:szCs w:val="18"/>
      <w:lang w:eastAsia="ja-JP"/>
    </w:rPr>
  </w:style>
  <w:style w:type="character" w:customStyle="1" w:styleId="Heading5Char">
    <w:name w:val="Heading 5 Char"/>
    <w:basedOn w:val="DefaultParagraphFont"/>
    <w:link w:val="Heading5"/>
    <w:uiPriority w:val="9"/>
    <w:rsid w:val="007D0933"/>
    <w:rPr>
      <w:rFonts w:asciiTheme="majorHAnsi" w:eastAsiaTheme="majorEastAsia" w:hAnsiTheme="majorHAnsi" w:cstheme="majorBidi"/>
      <w:b/>
      <w:caps/>
      <w:color w:val="404040" w:themeColor="text1" w:themeTint="BF"/>
      <w:sz w:val="20"/>
    </w:rPr>
  </w:style>
  <w:style w:type="character" w:customStyle="1" w:styleId="Heading6Char">
    <w:name w:val="Heading 6 Char"/>
    <w:basedOn w:val="DefaultParagraphFont"/>
    <w:link w:val="Heading6"/>
    <w:uiPriority w:val="9"/>
    <w:rsid w:val="007D0933"/>
    <w:rPr>
      <w:rFonts w:asciiTheme="majorHAnsi" w:eastAsiaTheme="majorEastAsia" w:hAnsiTheme="majorHAnsi" w:cstheme="majorBidi"/>
      <w:b/>
      <w:color w:val="FFFFFF" w:themeColor="background2"/>
      <w:sz w:val="20"/>
    </w:rPr>
  </w:style>
  <w:style w:type="character" w:customStyle="1" w:styleId="Heading7Char">
    <w:name w:val="Heading 7 Char"/>
    <w:basedOn w:val="DefaultParagraphFont"/>
    <w:link w:val="Heading7"/>
    <w:uiPriority w:val="9"/>
    <w:rsid w:val="007D0933"/>
    <w:rPr>
      <w:rFonts w:asciiTheme="majorHAnsi" w:eastAsiaTheme="majorEastAsia" w:hAnsiTheme="majorHAnsi" w:cstheme="majorBidi"/>
      <w:b/>
      <w:iCs/>
      <w:color w:val="6FAD45" w:themeColor="accent1"/>
      <w:sz w:val="20"/>
    </w:rPr>
  </w:style>
  <w:style w:type="character" w:customStyle="1" w:styleId="Heading8Char">
    <w:name w:val="Heading 8 Char"/>
    <w:basedOn w:val="DefaultParagraphFont"/>
    <w:link w:val="Heading8"/>
    <w:uiPriority w:val="9"/>
    <w:rsid w:val="007D0933"/>
    <w:rPr>
      <w:rFonts w:asciiTheme="majorHAnsi" w:eastAsiaTheme="majorEastAsia" w:hAnsiTheme="majorHAnsi" w:cstheme="majorBidi"/>
      <w:b/>
      <w:color w:val="FFD967" w:themeColor="accent2"/>
      <w:sz w:val="20"/>
      <w:szCs w:val="21"/>
    </w:rPr>
  </w:style>
  <w:style w:type="character" w:customStyle="1" w:styleId="Heading9Char">
    <w:name w:val="Heading 9 Char"/>
    <w:basedOn w:val="DefaultParagraphFont"/>
    <w:link w:val="Heading9"/>
    <w:uiPriority w:val="9"/>
    <w:rsid w:val="007D0933"/>
    <w:rPr>
      <w:rFonts w:asciiTheme="majorHAnsi" w:eastAsiaTheme="majorEastAsia" w:hAnsiTheme="majorHAnsi" w:cstheme="majorBidi"/>
      <w:b/>
      <w:iCs/>
      <w:color w:val="4970B7" w:themeColor="accent3"/>
      <w:sz w:val="20"/>
      <w:szCs w:val="21"/>
    </w:rPr>
  </w:style>
  <w:style w:type="paragraph" w:customStyle="1" w:styleId="SG-OrgChart-Heading1-CompanyClientName-CenterAligned">
    <w:name w:val="SG - Org Chart - Heading 1 - Company/Client Name - Center Aligned"/>
    <w:basedOn w:val="Normal"/>
    <w:uiPriority w:val="99"/>
    <w:rsid w:val="007D0933"/>
    <w:pPr>
      <w:widowControl w:val="0"/>
      <w:suppressAutoHyphens/>
      <w:autoSpaceDE w:val="0"/>
      <w:autoSpaceDN w:val="0"/>
      <w:adjustRightInd w:val="0"/>
      <w:spacing w:before="40" w:after="40"/>
      <w:jc w:val="center"/>
      <w:textAlignment w:val="center"/>
    </w:pPr>
    <w:rPr>
      <w:rFonts w:ascii="Arial Narrow" w:hAnsi="Arial Narrow" w:cs="Arial Narrow"/>
      <w:b/>
      <w:bCs/>
      <w:caps/>
      <w:color w:val="262626" w:themeColor="text1" w:themeTint="D9"/>
      <w:spacing w:val="-3"/>
      <w:sz w:val="26"/>
      <w:szCs w:val="28"/>
    </w:rPr>
  </w:style>
  <w:style w:type="paragraph" w:customStyle="1" w:styleId="SG-OrgChart-Heading2-CenterAligned">
    <w:name w:val="SG - Org Chart - Heading 2 - Center Aligned"/>
    <w:basedOn w:val="SG-OrgChart-Heading1-CompanyClientName-CenterAligned"/>
    <w:rsid w:val="007D0933"/>
    <w:rPr>
      <w:color w:val="FFFFFF" w:themeColor="background1"/>
      <w:sz w:val="22"/>
    </w:rPr>
  </w:style>
  <w:style w:type="paragraph" w:customStyle="1" w:styleId="SG-OrgChart-Personnel-CenterAligned">
    <w:name w:val="SG - Org Chart - Personnel - Center Aligned"/>
    <w:basedOn w:val="Normal"/>
    <w:uiPriority w:val="99"/>
    <w:rsid w:val="007D0933"/>
    <w:pPr>
      <w:widowControl w:val="0"/>
      <w:suppressAutoHyphens/>
      <w:autoSpaceDE w:val="0"/>
      <w:autoSpaceDN w:val="0"/>
      <w:adjustRightInd w:val="0"/>
      <w:spacing w:after="0" w:line="200" w:lineRule="atLeast"/>
      <w:jc w:val="center"/>
      <w:textAlignment w:val="center"/>
    </w:pPr>
    <w:rPr>
      <w:rFonts w:ascii="Arial Narrow" w:hAnsi="Arial Narrow" w:cs="Arial Narrow"/>
      <w:spacing w:val="-2"/>
      <w:szCs w:val="20"/>
    </w:rPr>
  </w:style>
  <w:style w:type="paragraph" w:customStyle="1" w:styleId="SG-OrgChart-PersonnelLocation-CenterAligned">
    <w:name w:val="SG - Org Chart - Personnel Location - Center Aligned"/>
    <w:basedOn w:val="SG-OrgChart-Personnel-CenterAligned"/>
    <w:uiPriority w:val="99"/>
    <w:rsid w:val="007D0933"/>
    <w:pPr>
      <w:spacing w:after="120" w:line="220" w:lineRule="atLeast"/>
    </w:pPr>
    <w:rPr>
      <w:color w:val="000000" w:themeColor="text2"/>
      <w:sz w:val="18"/>
      <w:szCs w:val="18"/>
    </w:rPr>
  </w:style>
  <w:style w:type="table" w:customStyle="1" w:styleId="SG-Table">
    <w:name w:val="SG - Table"/>
    <w:basedOn w:val="TableNormal"/>
    <w:uiPriority w:val="99"/>
    <w:rsid w:val="00E2055E"/>
    <w:pPr>
      <w:spacing w:after="0" w:line="240" w:lineRule="auto"/>
    </w:pPr>
    <w:rPr>
      <w:rFonts w:ascii="Arial Narrow" w:hAnsi="Arial Narrow"/>
      <w:sz w:val="20"/>
      <w:szCs w:val="20"/>
    </w:rPr>
    <w:tblPr>
      <w:tblStyleRowBandSize w:val="1"/>
      <w:tblBorders>
        <w:top w:val="single" w:sz="4" w:space="0" w:color="000000" w:themeColor="text2" w:themeShade="BF"/>
        <w:left w:val="single" w:sz="4" w:space="0" w:color="000000" w:themeColor="text2" w:themeShade="BF"/>
        <w:bottom w:val="single" w:sz="4" w:space="0" w:color="000000" w:themeColor="text2" w:themeShade="BF"/>
        <w:right w:val="single" w:sz="4" w:space="0" w:color="000000" w:themeColor="text2" w:themeShade="BF"/>
        <w:insideH w:val="single" w:sz="4" w:space="0" w:color="000000" w:themeColor="text2" w:themeShade="BF"/>
        <w:insideV w:val="single" w:sz="4" w:space="0" w:color="000000" w:themeColor="text2" w:themeShade="BF"/>
      </w:tblBorders>
    </w:tblPr>
    <w:tcPr>
      <w:vAlign w:val="center"/>
    </w:tcPr>
    <w:tblStylePr w:type="firstRow">
      <w:pPr>
        <w:jc w:val="left"/>
      </w:pPr>
      <w:rPr>
        <w:rFonts w:ascii="Sitka Subheading" w:hAnsi="Sitka Subheading"/>
        <w:b/>
        <w:i w:val="0"/>
        <w:caps/>
        <w:smallCaps w:val="0"/>
        <w:color w:val="FFFFFF" w:themeColor="background1"/>
        <w:sz w:val="22"/>
      </w:rPr>
      <w:tblPr/>
      <w:tcPr>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cBorders>
        <w:shd w:val="clear" w:color="auto" w:fill="FFFFFF" w:themeFill="background2"/>
      </w:tcPr>
    </w:tblStylePr>
    <w:tblStylePr w:type="band1Horz">
      <w:pPr>
        <w:jc w:val="left"/>
      </w:pPr>
      <w:rPr>
        <w:rFonts w:ascii="Sitka Subheading" w:hAnsi="Sitka Subheading"/>
        <w:color w:val="auto"/>
        <w:sz w:val="20"/>
      </w:rPr>
    </w:tblStylePr>
    <w:tblStylePr w:type="band2Horz">
      <w:pPr>
        <w:jc w:val="left"/>
      </w:pPr>
      <w:rPr>
        <w:rFonts w:ascii="Sitka Subheading" w:hAnsi="Sitka Subheading"/>
        <w:sz w:val="20"/>
      </w:rPr>
      <w:tblPr/>
      <w:tcPr>
        <w:shd w:val="clear" w:color="auto" w:fill="D9D9D9" w:themeFill="background1" w:themeFillShade="D9"/>
      </w:tcPr>
    </w:tblStylePr>
  </w:style>
  <w:style w:type="paragraph" w:customStyle="1" w:styleId="SG-Table-BodyText-LeftAligned">
    <w:name w:val="SG - Table - Body Text - Left Aligned"/>
    <w:basedOn w:val="Normal"/>
    <w:rsid w:val="007D0933"/>
    <w:pPr>
      <w:suppressAutoHyphens/>
      <w:spacing w:after="0"/>
    </w:pPr>
    <w:rPr>
      <w:rFonts w:ascii="Arial Narrow" w:hAnsi="Arial Narrow" w:cs="Open Sans"/>
      <w:szCs w:val="18"/>
    </w:rPr>
  </w:style>
  <w:style w:type="paragraph" w:customStyle="1" w:styleId="SG-Table-BodyText-CenterAligned">
    <w:name w:val="SG - Table - Body Text - Center Aligned"/>
    <w:basedOn w:val="SG-Table-BodyText-LeftAligned"/>
    <w:rsid w:val="007D0933"/>
    <w:pPr>
      <w:jc w:val="center"/>
    </w:pPr>
  </w:style>
  <w:style w:type="paragraph" w:customStyle="1" w:styleId="SG-Table-BodyText-RightAligned">
    <w:name w:val="SG - Table - Body Text - Right Aligned"/>
    <w:basedOn w:val="SG-Table-BodyText-LeftAligned"/>
    <w:rsid w:val="007D0933"/>
    <w:pPr>
      <w:jc w:val="right"/>
    </w:pPr>
  </w:style>
  <w:style w:type="paragraph" w:customStyle="1" w:styleId="SG-Table-BulletedText">
    <w:name w:val="SG - Table - Bulleted Text"/>
    <w:basedOn w:val="Normal"/>
    <w:rsid w:val="00656A0C"/>
    <w:pPr>
      <w:numPr>
        <w:numId w:val="6"/>
      </w:numPr>
      <w:suppressAutoHyphens/>
      <w:spacing w:after="60"/>
      <w:ind w:left="130" w:hanging="130"/>
    </w:pPr>
    <w:rPr>
      <w:rFonts w:ascii="Arial Narrow" w:hAnsi="Arial Narrow" w:cs="Open Sans"/>
      <w:szCs w:val="18"/>
    </w:rPr>
  </w:style>
  <w:style w:type="paragraph" w:customStyle="1" w:styleId="SG-Table-Heading">
    <w:name w:val="SG - Table - Heading"/>
    <w:basedOn w:val="Normal"/>
    <w:rsid w:val="007D0933"/>
    <w:pPr>
      <w:suppressAutoHyphens/>
      <w:spacing w:before="40" w:after="40"/>
      <w:jc w:val="center"/>
    </w:pPr>
    <w:rPr>
      <w:rFonts w:ascii="Arial Narrow" w:hAnsi="Arial Narrow" w:cs="Open Sans"/>
      <w:b/>
      <w:caps/>
      <w:color w:val="FFFFFF" w:themeColor="background1"/>
      <w:sz w:val="22"/>
      <w:szCs w:val="18"/>
    </w:rPr>
  </w:style>
  <w:style w:type="paragraph" w:styleId="TOC1">
    <w:name w:val="toc 1"/>
    <w:basedOn w:val="Normal"/>
    <w:next w:val="Normal"/>
    <w:autoRedefine/>
    <w:uiPriority w:val="39"/>
    <w:unhideWhenUsed/>
    <w:rsid w:val="004A36A8"/>
    <w:pPr>
      <w:widowControl w:val="0"/>
      <w:tabs>
        <w:tab w:val="right" w:pos="9720"/>
      </w:tabs>
      <w:suppressAutoHyphens/>
      <w:autoSpaceDE w:val="0"/>
      <w:autoSpaceDN w:val="0"/>
      <w:adjustRightInd w:val="0"/>
      <w:spacing w:before="240" w:line="240" w:lineRule="atLeast"/>
      <w:ind w:left="2160"/>
      <w:textAlignment w:val="center"/>
    </w:pPr>
    <w:rPr>
      <w:rFonts w:asciiTheme="majorHAnsi" w:hAnsiTheme="majorHAnsi" w:cs="Proxima Nova Semibold"/>
      <w:b/>
      <w:caps/>
      <w:color w:val="4970B7" w:themeColor="accent3"/>
      <w:position w:val="-2"/>
    </w:rPr>
  </w:style>
  <w:style w:type="paragraph" w:styleId="TOC2">
    <w:name w:val="toc 2"/>
    <w:basedOn w:val="Normal"/>
    <w:next w:val="Normal"/>
    <w:autoRedefine/>
    <w:uiPriority w:val="39"/>
    <w:unhideWhenUsed/>
    <w:rsid w:val="004A36A8"/>
    <w:pPr>
      <w:widowControl w:val="0"/>
      <w:pBdr>
        <w:bottom w:val="dotted" w:sz="8" w:space="4" w:color="595959"/>
        <w:between w:val="dotted" w:sz="8" w:space="1" w:color="595959"/>
      </w:pBdr>
      <w:tabs>
        <w:tab w:val="right" w:pos="9360"/>
      </w:tabs>
      <w:suppressAutoHyphens/>
      <w:autoSpaceDE w:val="0"/>
      <w:autoSpaceDN w:val="0"/>
      <w:adjustRightInd w:val="0"/>
      <w:spacing w:before="120" w:after="120" w:line="220" w:lineRule="atLeast"/>
      <w:ind w:left="2520"/>
      <w:textAlignment w:val="center"/>
    </w:pPr>
    <w:rPr>
      <w:rFonts w:cs="Open Sans Semibold"/>
      <w:b/>
      <w:color w:val="332F2E" w:themeColor="accent4"/>
      <w:szCs w:val="18"/>
    </w:rPr>
  </w:style>
  <w:style w:type="paragraph" w:styleId="TOC3">
    <w:name w:val="toc 3"/>
    <w:basedOn w:val="Normal"/>
    <w:next w:val="Normal"/>
    <w:autoRedefine/>
    <w:uiPriority w:val="39"/>
    <w:unhideWhenUsed/>
    <w:rsid w:val="004A36A8"/>
    <w:pPr>
      <w:widowControl w:val="0"/>
      <w:pBdr>
        <w:bottom w:val="dotted" w:sz="8" w:space="4" w:color="595959"/>
        <w:between w:val="dotted" w:sz="8" w:space="1" w:color="595959"/>
      </w:pBdr>
      <w:tabs>
        <w:tab w:val="left" w:leader="dot" w:pos="720"/>
        <w:tab w:val="right" w:pos="9360"/>
      </w:tabs>
      <w:suppressAutoHyphens/>
      <w:autoSpaceDE w:val="0"/>
      <w:autoSpaceDN w:val="0"/>
      <w:adjustRightInd w:val="0"/>
      <w:spacing w:before="120" w:after="120" w:line="280" w:lineRule="atLeast"/>
      <w:ind w:left="2880"/>
      <w:textAlignment w:val="center"/>
    </w:pPr>
    <w:rPr>
      <w:rFonts w:cs="Open Sans Semibold"/>
      <w:i/>
      <w:color w:val="332F2E" w:themeColor="accent4"/>
      <w:szCs w:val="18"/>
    </w:rPr>
  </w:style>
  <w:style w:type="paragraph" w:styleId="TOC4">
    <w:name w:val="toc 4"/>
    <w:basedOn w:val="Normal"/>
    <w:next w:val="Normal"/>
    <w:autoRedefine/>
    <w:uiPriority w:val="39"/>
    <w:unhideWhenUsed/>
    <w:rsid w:val="007D0933"/>
    <w:pPr>
      <w:widowControl w:val="0"/>
      <w:pBdr>
        <w:bottom w:val="dotted" w:sz="8" w:space="4" w:color="595959"/>
        <w:between w:val="dotted" w:sz="8" w:space="1" w:color="595959"/>
      </w:pBdr>
      <w:tabs>
        <w:tab w:val="left" w:leader="dot" w:pos="720"/>
        <w:tab w:val="right" w:pos="9360"/>
      </w:tabs>
      <w:suppressAutoHyphens/>
      <w:autoSpaceDE w:val="0"/>
      <w:autoSpaceDN w:val="0"/>
      <w:adjustRightInd w:val="0"/>
      <w:spacing w:before="120" w:after="120" w:line="280" w:lineRule="atLeast"/>
      <w:ind w:left="3240"/>
      <w:textAlignment w:val="center"/>
    </w:pPr>
    <w:rPr>
      <w:rFonts w:cs="Open Sans Semibold"/>
      <w:b/>
      <w:color w:val="FFD967" w:themeColor="accent2"/>
      <w:sz w:val="18"/>
      <w:szCs w:val="18"/>
    </w:rPr>
  </w:style>
  <w:style w:type="paragraph" w:styleId="TOC5">
    <w:name w:val="toc 5"/>
    <w:basedOn w:val="TOC4"/>
    <w:next w:val="Normal"/>
    <w:autoRedefine/>
    <w:uiPriority w:val="39"/>
    <w:unhideWhenUsed/>
    <w:rsid w:val="007D0933"/>
    <w:pPr>
      <w:spacing w:after="100"/>
      <w:ind w:left="3600"/>
    </w:pPr>
    <w:rPr>
      <w:color w:val="4970B7" w:themeColor="accent3"/>
    </w:rPr>
  </w:style>
  <w:style w:type="paragraph" w:styleId="TOC6">
    <w:name w:val="toc 6"/>
    <w:basedOn w:val="TOC5"/>
    <w:next w:val="Normal"/>
    <w:autoRedefine/>
    <w:uiPriority w:val="39"/>
    <w:unhideWhenUsed/>
    <w:rsid w:val="007D0933"/>
    <w:pPr>
      <w:tabs>
        <w:tab w:val="clear" w:pos="9360"/>
        <w:tab w:val="right" w:pos="9350"/>
      </w:tabs>
      <w:ind w:left="3960"/>
    </w:pPr>
    <w:rPr>
      <w:color w:val="000000" w:themeColor="text2" w:themeShade="BF"/>
    </w:rPr>
  </w:style>
  <w:style w:type="paragraph" w:styleId="TOC7">
    <w:name w:val="toc 7"/>
    <w:basedOn w:val="TOC6"/>
    <w:next w:val="Normal"/>
    <w:autoRedefine/>
    <w:uiPriority w:val="39"/>
    <w:unhideWhenUsed/>
    <w:rsid w:val="007D0933"/>
    <w:pPr>
      <w:ind w:left="4320"/>
    </w:pPr>
    <w:rPr>
      <w:color w:val="FFFFFF" w:themeColor="background2"/>
      <w:sz w:val="16"/>
    </w:rPr>
  </w:style>
  <w:style w:type="paragraph" w:styleId="TOC8">
    <w:name w:val="toc 8"/>
    <w:basedOn w:val="TOC7"/>
    <w:next w:val="Normal"/>
    <w:autoRedefine/>
    <w:uiPriority w:val="39"/>
    <w:unhideWhenUsed/>
    <w:rsid w:val="007D0933"/>
    <w:pPr>
      <w:ind w:left="4680"/>
    </w:pPr>
    <w:rPr>
      <w:color w:val="6FAD45" w:themeColor="accent1"/>
    </w:rPr>
  </w:style>
  <w:style w:type="paragraph" w:styleId="TOC9">
    <w:name w:val="toc 9"/>
    <w:basedOn w:val="TOC8"/>
    <w:next w:val="Normal"/>
    <w:autoRedefine/>
    <w:uiPriority w:val="39"/>
    <w:unhideWhenUsed/>
    <w:rsid w:val="007D0933"/>
    <w:pPr>
      <w:ind w:left="5040"/>
    </w:pPr>
    <w:rPr>
      <w:color w:val="FFD967" w:themeColor="accent2"/>
    </w:rPr>
  </w:style>
  <w:style w:type="paragraph" w:customStyle="1" w:styleId="Bullets">
    <w:name w:val="Bullets"/>
    <w:basedOn w:val="ListParagraph"/>
    <w:link w:val="BulletsChar"/>
    <w:uiPriority w:val="99"/>
    <w:qFormat/>
    <w:rsid w:val="007B4302"/>
    <w:pPr>
      <w:numPr>
        <w:numId w:val="81"/>
      </w:numPr>
    </w:pPr>
    <w:rPr>
      <w:rFonts w:eastAsia="MS Mincho"/>
    </w:rPr>
  </w:style>
  <w:style w:type="character" w:customStyle="1" w:styleId="BulletsChar">
    <w:name w:val="Bullets Char"/>
    <w:basedOn w:val="DefaultParagraphFont"/>
    <w:link w:val="Bullets"/>
    <w:uiPriority w:val="99"/>
    <w:rsid w:val="007B4302"/>
    <w:rPr>
      <w:rFonts w:eastAsia="MS Mincho"/>
      <w:sz w:val="20"/>
      <w:szCs w:val="24"/>
      <w:lang w:eastAsia="ja-JP"/>
    </w:rPr>
  </w:style>
  <w:style w:type="paragraph" w:customStyle="1" w:styleId="BulletsLast">
    <w:name w:val="Bullets Last"/>
    <w:basedOn w:val="Bullets"/>
    <w:uiPriority w:val="99"/>
    <w:rsid w:val="007D0933"/>
    <w:pPr>
      <w:autoSpaceDE w:val="0"/>
      <w:autoSpaceDN w:val="0"/>
      <w:adjustRightInd w:val="0"/>
      <w:spacing w:after="240"/>
      <w:textAlignment w:val="center"/>
    </w:pPr>
  </w:style>
  <w:style w:type="paragraph" w:customStyle="1" w:styleId="C-SolidBox-LtGold">
    <w:name w:val="C - Solid Box - Lt Gold"/>
    <w:basedOn w:val="C-SolidBox"/>
    <w:rsid w:val="007D0933"/>
    <w:pPr>
      <w:pBdr>
        <w:top w:val="single" w:sz="18" w:space="5" w:color="897F7C" w:themeColor="accent4" w:themeTint="99"/>
        <w:left w:val="single" w:sz="18" w:space="5" w:color="897F7C" w:themeColor="accent4" w:themeTint="99"/>
        <w:bottom w:val="single" w:sz="18" w:space="5" w:color="897F7C" w:themeColor="accent4" w:themeTint="99"/>
        <w:right w:val="single" w:sz="18" w:space="5" w:color="897F7C" w:themeColor="accent4" w:themeTint="99"/>
      </w:pBdr>
      <w:shd w:val="clear" w:color="auto" w:fill="897F7C" w:themeFill="accent4" w:themeFillTint="99"/>
    </w:pPr>
    <w:rPr>
      <w:color w:val="000000" w:themeColor="text2"/>
    </w:rPr>
  </w:style>
  <w:style w:type="paragraph" w:customStyle="1" w:styleId="CaptionABOVE">
    <w:name w:val="Caption ABOVE"/>
    <w:uiPriority w:val="99"/>
    <w:rsid w:val="007D0933"/>
    <w:pPr>
      <w:widowControl w:val="0"/>
      <w:pBdr>
        <w:top w:val="dotted" w:sz="8" w:space="4" w:color="7A003F"/>
      </w:pBdr>
      <w:suppressAutoHyphens/>
      <w:spacing w:line="220" w:lineRule="atLeast"/>
    </w:pPr>
    <w:rPr>
      <w:rFonts w:eastAsiaTheme="minorEastAsia" w:cs="Open Sans Light"/>
      <w:color w:val="000000" w:themeColor="text2"/>
      <w:sz w:val="18"/>
      <w:szCs w:val="18"/>
    </w:rPr>
  </w:style>
  <w:style w:type="paragraph" w:customStyle="1" w:styleId="CaptionBELOW">
    <w:name w:val="Caption BELOW"/>
    <w:uiPriority w:val="99"/>
    <w:rsid w:val="007D0933"/>
    <w:pPr>
      <w:framePr w:wrap="around" w:vAnchor="text" w:hAnchor="text" w:y="1"/>
      <w:widowControl w:val="0"/>
      <w:pBdr>
        <w:bottom w:val="dotted" w:sz="8" w:space="9" w:color="67003F"/>
      </w:pBdr>
      <w:suppressAutoHyphens/>
      <w:spacing w:line="200" w:lineRule="atLeast"/>
    </w:pPr>
    <w:rPr>
      <w:rFonts w:eastAsiaTheme="minorEastAsia" w:cs="Open Sans Light"/>
      <w:color w:val="000000" w:themeColor="text2"/>
      <w:sz w:val="18"/>
      <w:szCs w:val="18"/>
    </w:rPr>
  </w:style>
  <w:style w:type="character" w:customStyle="1" w:styleId="Figure">
    <w:name w:val="Figure #"/>
    <w:uiPriority w:val="99"/>
    <w:rsid w:val="007D0933"/>
    <w:rPr>
      <w:rFonts w:ascii="Arial Black" w:hAnsi="Arial Black" w:cs="Open Sans Extrabold"/>
      <w:caps/>
      <w:color w:val="000000" w:themeColor="text2"/>
      <w:spacing w:val="1"/>
      <w:sz w:val="14"/>
      <w:szCs w:val="14"/>
      <w:u w:val="none"/>
      <w:vertAlign w:val="baseline"/>
    </w:rPr>
  </w:style>
  <w:style w:type="paragraph" w:customStyle="1" w:styleId="Highlight">
    <w:name w:val="Highlight"/>
    <w:basedOn w:val="Normal"/>
    <w:link w:val="HighlightChar"/>
    <w:rsid w:val="007D0933"/>
    <w:pPr>
      <w:shd w:val="clear" w:color="auto" w:fill="FFFF00"/>
      <w:suppressAutoHyphens/>
    </w:pPr>
    <w:rPr>
      <w:rFonts w:cs="Open Sans"/>
      <w:szCs w:val="18"/>
    </w:rPr>
  </w:style>
  <w:style w:type="character" w:customStyle="1" w:styleId="HighlightChar">
    <w:name w:val="Highlight Char"/>
    <w:basedOn w:val="DefaultParagraphFont"/>
    <w:link w:val="Highlight"/>
    <w:rsid w:val="007D0933"/>
    <w:rPr>
      <w:rFonts w:eastAsiaTheme="minorEastAsia" w:cs="Open Sans"/>
      <w:color w:val="000000" w:themeColor="text1"/>
      <w:sz w:val="20"/>
      <w:szCs w:val="18"/>
      <w:shd w:val="clear" w:color="auto" w:fill="FFFF00"/>
    </w:rPr>
  </w:style>
  <w:style w:type="paragraph" w:customStyle="1" w:styleId="Lists-Numbers">
    <w:name w:val="Lists - Numbers"/>
    <w:basedOn w:val="Bullets"/>
    <w:rsid w:val="007D0933"/>
    <w:pPr>
      <w:numPr>
        <w:numId w:val="5"/>
      </w:numPr>
    </w:pPr>
  </w:style>
  <w:style w:type="paragraph" w:customStyle="1" w:styleId="Lists-Letters">
    <w:name w:val="Lists - Letters"/>
    <w:basedOn w:val="Lists-Numbers"/>
    <w:rsid w:val="007D0933"/>
    <w:pPr>
      <w:numPr>
        <w:numId w:val="4"/>
      </w:numPr>
    </w:pPr>
  </w:style>
  <w:style w:type="paragraph" w:customStyle="1" w:styleId="Lists-LastLetter">
    <w:name w:val="Lists - Last Letter"/>
    <w:basedOn w:val="Lists-Letters"/>
    <w:rsid w:val="007D0933"/>
    <w:pPr>
      <w:spacing w:after="240"/>
      <w:ind w:left="576" w:hanging="288"/>
    </w:pPr>
  </w:style>
  <w:style w:type="paragraph" w:customStyle="1" w:styleId="Lists-LastNumber">
    <w:name w:val="Lists - Last Number"/>
    <w:basedOn w:val="Lists-Numbers"/>
    <w:rsid w:val="007D0933"/>
    <w:pPr>
      <w:spacing w:after="240"/>
      <w:ind w:left="576" w:hanging="288"/>
    </w:pPr>
  </w:style>
  <w:style w:type="paragraph" w:styleId="TableofFigures">
    <w:name w:val="table of figures"/>
    <w:basedOn w:val="TOC1"/>
    <w:next w:val="Normal"/>
    <w:uiPriority w:val="99"/>
    <w:unhideWhenUsed/>
    <w:rsid w:val="00F97362"/>
    <w:pPr>
      <w:tabs>
        <w:tab w:val="clear" w:pos="9720"/>
        <w:tab w:val="right" w:leader="dot" w:pos="9360"/>
      </w:tabs>
      <w:spacing w:before="0" w:after="120" w:line="240" w:lineRule="auto"/>
      <w:ind w:left="0"/>
    </w:pPr>
    <w:rPr>
      <w:rFonts w:ascii="Lato" w:hAnsi="Lato"/>
      <w:b w:val="0"/>
      <w:caps w:val="0"/>
      <w:color w:val="332F2E" w:themeColor="accent4"/>
    </w:rPr>
  </w:style>
  <w:style w:type="paragraph" w:styleId="TOCHeading">
    <w:name w:val="TOC Heading"/>
    <w:basedOn w:val="Heading1"/>
    <w:next w:val="Normal"/>
    <w:uiPriority w:val="39"/>
    <w:unhideWhenUsed/>
    <w:qFormat/>
    <w:rsid w:val="000F5002"/>
    <w:pPr>
      <w:widowControl/>
      <w:suppressAutoHyphens w:val="0"/>
      <w:autoSpaceDE/>
      <w:autoSpaceDN/>
      <w:adjustRightInd/>
      <w:spacing w:before="240" w:line="259" w:lineRule="auto"/>
      <w:textAlignment w:val="auto"/>
      <w:outlineLvl w:val="9"/>
    </w:pPr>
    <w:rPr>
      <w:b w:val="0"/>
      <w:caps/>
      <w:color w:val="000000" w:themeColor="text2"/>
      <w:spacing w:val="24"/>
    </w:rPr>
  </w:style>
  <w:style w:type="character" w:styleId="Hyperlink">
    <w:name w:val="Hyperlink"/>
    <w:basedOn w:val="DefaultParagraphFont"/>
    <w:uiPriority w:val="99"/>
    <w:unhideWhenUsed/>
    <w:rsid w:val="000F5002"/>
    <w:rPr>
      <w:color w:val="4970B7" w:themeColor="hyperlink"/>
      <w:u w:val="single"/>
    </w:rPr>
  </w:style>
  <w:style w:type="paragraph" w:styleId="ListParagraph">
    <w:name w:val="List Paragraph"/>
    <w:basedOn w:val="Normal"/>
    <w:uiPriority w:val="34"/>
    <w:qFormat/>
    <w:rsid w:val="004D42B8"/>
    <w:pPr>
      <w:ind w:left="720"/>
      <w:contextualSpacing/>
    </w:pPr>
  </w:style>
  <w:style w:type="paragraph" w:styleId="CommentText">
    <w:name w:val="annotation text"/>
    <w:basedOn w:val="Normal"/>
    <w:link w:val="CommentTextChar"/>
    <w:uiPriority w:val="99"/>
    <w:unhideWhenUsed/>
    <w:rsid w:val="004D42B8"/>
    <w:pPr>
      <w:spacing w:line="240" w:lineRule="auto"/>
    </w:pPr>
    <w:rPr>
      <w:szCs w:val="20"/>
    </w:rPr>
  </w:style>
  <w:style w:type="character" w:customStyle="1" w:styleId="CommentTextChar">
    <w:name w:val="Comment Text Char"/>
    <w:basedOn w:val="DefaultParagraphFont"/>
    <w:link w:val="CommentText"/>
    <w:uiPriority w:val="99"/>
    <w:rsid w:val="004D42B8"/>
    <w:rPr>
      <w:rFonts w:eastAsiaTheme="minorEastAsia"/>
      <w:sz w:val="20"/>
      <w:szCs w:val="20"/>
      <w:lang w:eastAsia="ja-JP"/>
    </w:rPr>
  </w:style>
  <w:style w:type="character" w:styleId="CommentReference">
    <w:name w:val="annotation reference"/>
    <w:basedOn w:val="DefaultParagraphFont"/>
    <w:uiPriority w:val="99"/>
    <w:semiHidden/>
    <w:unhideWhenUsed/>
    <w:rsid w:val="004D42B8"/>
    <w:rPr>
      <w:sz w:val="16"/>
      <w:szCs w:val="16"/>
    </w:rPr>
  </w:style>
  <w:style w:type="character" w:styleId="FollowedHyperlink">
    <w:name w:val="FollowedHyperlink"/>
    <w:basedOn w:val="DefaultParagraphFont"/>
    <w:uiPriority w:val="99"/>
    <w:semiHidden/>
    <w:unhideWhenUsed/>
    <w:rsid w:val="004D42B8"/>
    <w:rPr>
      <w:color w:val="AD6145" w:themeColor="followedHyperlink"/>
      <w:u w:val="single"/>
    </w:rPr>
  </w:style>
  <w:style w:type="character" w:styleId="UnresolvedMention">
    <w:name w:val="Unresolved Mention"/>
    <w:basedOn w:val="DefaultParagraphFont"/>
    <w:uiPriority w:val="99"/>
    <w:semiHidden/>
    <w:unhideWhenUsed/>
    <w:rsid w:val="004D42B8"/>
    <w:rPr>
      <w:color w:val="605E5C"/>
      <w:shd w:val="clear" w:color="auto" w:fill="E1DFDD"/>
    </w:rPr>
  </w:style>
  <w:style w:type="paragraph" w:styleId="FootnoteText">
    <w:name w:val="footnote text"/>
    <w:basedOn w:val="Normal"/>
    <w:link w:val="FootnoteTextChar"/>
    <w:uiPriority w:val="99"/>
    <w:semiHidden/>
    <w:unhideWhenUsed/>
    <w:rsid w:val="004D42B8"/>
    <w:pPr>
      <w:spacing w:after="0" w:line="240" w:lineRule="auto"/>
    </w:pPr>
    <w:rPr>
      <w:rFonts w:eastAsiaTheme="minorHAnsi"/>
      <w:color w:val="000000" w:themeColor="text1"/>
      <w:szCs w:val="20"/>
      <w:lang w:eastAsia="en-US"/>
    </w:rPr>
  </w:style>
  <w:style w:type="character" w:customStyle="1" w:styleId="FootnoteTextChar">
    <w:name w:val="Footnote Text Char"/>
    <w:basedOn w:val="DefaultParagraphFont"/>
    <w:link w:val="FootnoteText"/>
    <w:uiPriority w:val="99"/>
    <w:semiHidden/>
    <w:rsid w:val="004D42B8"/>
    <w:rPr>
      <w:color w:val="000000" w:themeColor="text1"/>
      <w:sz w:val="20"/>
      <w:szCs w:val="20"/>
    </w:rPr>
  </w:style>
  <w:style w:type="character" w:styleId="FootnoteReference">
    <w:name w:val="footnote reference"/>
    <w:basedOn w:val="DefaultParagraphFont"/>
    <w:uiPriority w:val="99"/>
    <w:semiHidden/>
    <w:unhideWhenUsed/>
    <w:rsid w:val="004D42B8"/>
    <w:rPr>
      <w:vertAlign w:val="superscript"/>
    </w:rPr>
  </w:style>
  <w:style w:type="paragraph" w:styleId="CommentSubject">
    <w:name w:val="annotation subject"/>
    <w:basedOn w:val="CommentText"/>
    <w:next w:val="CommentText"/>
    <w:link w:val="CommentSubjectChar"/>
    <w:uiPriority w:val="99"/>
    <w:semiHidden/>
    <w:unhideWhenUsed/>
    <w:rsid w:val="004D42B8"/>
    <w:rPr>
      <w:b/>
      <w:bCs/>
    </w:rPr>
  </w:style>
  <w:style w:type="character" w:customStyle="1" w:styleId="CommentSubjectChar">
    <w:name w:val="Comment Subject Char"/>
    <w:basedOn w:val="CommentTextChar"/>
    <w:link w:val="CommentSubject"/>
    <w:uiPriority w:val="99"/>
    <w:semiHidden/>
    <w:rsid w:val="004D42B8"/>
    <w:rPr>
      <w:rFonts w:eastAsiaTheme="minorEastAsia"/>
      <w:b/>
      <w:bCs/>
      <w:sz w:val="20"/>
      <w:szCs w:val="20"/>
      <w:lang w:eastAsia="ja-JP"/>
    </w:rPr>
  </w:style>
  <w:style w:type="table" w:styleId="GridTable4-Accent1">
    <w:name w:val="Grid Table 4 Accent 1"/>
    <w:basedOn w:val="TableNormal"/>
    <w:uiPriority w:val="49"/>
    <w:rsid w:val="004D42B8"/>
    <w:pPr>
      <w:spacing w:after="0" w:line="240" w:lineRule="auto"/>
    </w:pPr>
    <w:rPr>
      <w:rFonts w:eastAsiaTheme="minorEastAsia"/>
      <w:sz w:val="24"/>
      <w:szCs w:val="24"/>
      <w:lang w:eastAsia="ja-JP"/>
    </w:rPr>
    <w:tblPr>
      <w:tblStyleRowBandSize w:val="1"/>
      <w:tblStyleColBandSize w:val="1"/>
      <w:tblBorders>
        <w:top w:val="single" w:sz="4" w:space="0" w:color="A7D18B" w:themeColor="accent1" w:themeTint="99"/>
        <w:left w:val="single" w:sz="4" w:space="0" w:color="A7D18B" w:themeColor="accent1" w:themeTint="99"/>
        <w:bottom w:val="single" w:sz="4" w:space="0" w:color="A7D18B" w:themeColor="accent1" w:themeTint="99"/>
        <w:right w:val="single" w:sz="4" w:space="0" w:color="A7D18B" w:themeColor="accent1" w:themeTint="99"/>
        <w:insideH w:val="single" w:sz="4" w:space="0" w:color="A7D18B" w:themeColor="accent1" w:themeTint="99"/>
        <w:insideV w:val="single" w:sz="4" w:space="0" w:color="A7D18B" w:themeColor="accent1" w:themeTint="99"/>
      </w:tblBorders>
    </w:tblPr>
    <w:tblStylePr w:type="firstRow">
      <w:rPr>
        <w:b/>
        <w:bCs/>
        <w:color w:val="FFFFFF" w:themeColor="background1"/>
      </w:rPr>
      <w:tblPr/>
      <w:tcPr>
        <w:tcBorders>
          <w:top w:val="single" w:sz="4" w:space="0" w:color="6FAD45" w:themeColor="accent1"/>
          <w:left w:val="single" w:sz="4" w:space="0" w:color="6FAD45" w:themeColor="accent1"/>
          <w:bottom w:val="single" w:sz="4" w:space="0" w:color="6FAD45" w:themeColor="accent1"/>
          <w:right w:val="single" w:sz="4" w:space="0" w:color="6FAD45" w:themeColor="accent1"/>
          <w:insideH w:val="nil"/>
          <w:insideV w:val="nil"/>
        </w:tcBorders>
        <w:shd w:val="clear" w:color="auto" w:fill="6FAD45" w:themeFill="accent1"/>
      </w:tcPr>
    </w:tblStylePr>
    <w:tblStylePr w:type="lastRow">
      <w:rPr>
        <w:b/>
        <w:bCs/>
      </w:rPr>
      <w:tblPr/>
      <w:tcPr>
        <w:tcBorders>
          <w:top w:val="double" w:sz="4" w:space="0" w:color="6FAD45" w:themeColor="accent1"/>
        </w:tcBorders>
      </w:tcPr>
    </w:tblStylePr>
    <w:tblStylePr w:type="firstCol">
      <w:rPr>
        <w:b/>
        <w:bCs/>
      </w:rPr>
    </w:tblStylePr>
    <w:tblStylePr w:type="lastCol">
      <w:rPr>
        <w:b/>
        <w:bCs/>
      </w:rPr>
    </w:tblStylePr>
    <w:tblStylePr w:type="band1Vert">
      <w:tblPr/>
      <w:tcPr>
        <w:shd w:val="clear" w:color="auto" w:fill="E1EFD8" w:themeFill="accent1" w:themeFillTint="33"/>
      </w:tcPr>
    </w:tblStylePr>
    <w:tblStylePr w:type="band1Horz">
      <w:tblPr/>
      <w:tcPr>
        <w:shd w:val="clear" w:color="auto" w:fill="E1EFD8" w:themeFill="accent1" w:themeFillTint="33"/>
      </w:tcPr>
    </w:tblStylePr>
  </w:style>
  <w:style w:type="character" w:styleId="Mention">
    <w:name w:val="Mention"/>
    <w:basedOn w:val="DefaultParagraphFont"/>
    <w:uiPriority w:val="99"/>
    <w:unhideWhenUsed/>
    <w:rsid w:val="004D42B8"/>
    <w:rPr>
      <w:color w:val="2B579A"/>
      <w:shd w:val="clear" w:color="auto" w:fill="E1DFDD"/>
    </w:rPr>
  </w:style>
  <w:style w:type="paragraph" w:styleId="Revision">
    <w:name w:val="Revision"/>
    <w:hidden/>
    <w:uiPriority w:val="99"/>
    <w:semiHidden/>
    <w:rsid w:val="004D42B8"/>
    <w:pPr>
      <w:spacing w:after="0" w:line="240" w:lineRule="auto"/>
    </w:pPr>
    <w:rPr>
      <w:rFonts w:eastAsiaTheme="minorEastAsia"/>
      <w:sz w:val="24"/>
      <w:szCs w:val="24"/>
      <w:lang w:eastAsia="ja-JP"/>
    </w:rPr>
  </w:style>
  <w:style w:type="paragraph" w:styleId="EndnoteText">
    <w:name w:val="endnote text"/>
    <w:basedOn w:val="Normal"/>
    <w:link w:val="EndnoteTextChar"/>
    <w:uiPriority w:val="99"/>
    <w:semiHidden/>
    <w:unhideWhenUsed/>
    <w:rsid w:val="004D42B8"/>
    <w:pPr>
      <w:spacing w:after="0" w:line="240" w:lineRule="auto"/>
    </w:pPr>
    <w:rPr>
      <w:rFonts w:eastAsiaTheme="minorHAnsi"/>
      <w:kern w:val="2"/>
      <w:szCs w:val="20"/>
      <w:lang w:eastAsia="en-US"/>
      <w14:ligatures w14:val="standardContextual"/>
    </w:rPr>
  </w:style>
  <w:style w:type="character" w:customStyle="1" w:styleId="EndnoteTextChar">
    <w:name w:val="Endnote Text Char"/>
    <w:basedOn w:val="DefaultParagraphFont"/>
    <w:link w:val="EndnoteText"/>
    <w:uiPriority w:val="99"/>
    <w:semiHidden/>
    <w:rsid w:val="004D42B8"/>
    <w:rPr>
      <w:kern w:val="2"/>
      <w:sz w:val="20"/>
      <w:szCs w:val="20"/>
      <w14:ligatures w14:val="standardContextual"/>
    </w:rPr>
  </w:style>
  <w:style w:type="character" w:styleId="EndnoteReference">
    <w:name w:val="endnote reference"/>
    <w:basedOn w:val="DefaultParagraphFont"/>
    <w:uiPriority w:val="99"/>
    <w:semiHidden/>
    <w:unhideWhenUsed/>
    <w:rsid w:val="004D42B8"/>
    <w:rPr>
      <w:vertAlign w:val="superscript"/>
    </w:rPr>
  </w:style>
  <w:style w:type="table" w:styleId="GridTable5Dark-Accent1">
    <w:name w:val="Grid Table 5 Dark Accent 1"/>
    <w:basedOn w:val="TableNormal"/>
    <w:uiPriority w:val="50"/>
    <w:rsid w:val="004D42B8"/>
    <w:pPr>
      <w:spacing w:after="0" w:line="240" w:lineRule="auto"/>
    </w:pPr>
    <w:rPr>
      <w:rFonts w:eastAsiaTheme="minorEastAsia"/>
      <w:sz w:val="24"/>
      <w:szCs w:val="24"/>
      <w:lang w:eastAsia="ja-JP"/>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1EFD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FAD4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FAD4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FAD4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FAD45" w:themeFill="accent1"/>
      </w:tcPr>
    </w:tblStylePr>
    <w:tblStylePr w:type="band1Vert">
      <w:tblPr/>
      <w:tcPr>
        <w:shd w:val="clear" w:color="auto" w:fill="C4E0B2" w:themeFill="accent1" w:themeFillTint="66"/>
      </w:tcPr>
    </w:tblStylePr>
    <w:tblStylePr w:type="band1Horz">
      <w:tblPr/>
      <w:tcPr>
        <w:shd w:val="clear" w:color="auto" w:fill="C4E0B2" w:themeFill="accent1" w:themeFillTint="66"/>
      </w:tcPr>
    </w:tblStylePr>
  </w:style>
  <w:style w:type="paragraph" w:customStyle="1" w:styleId="NumberedList">
    <w:name w:val="Numbered List"/>
    <w:basedOn w:val="ListParagraph"/>
    <w:qFormat/>
    <w:rsid w:val="003D03EA"/>
    <w:pPr>
      <w:numPr>
        <w:numId w:val="79"/>
      </w:numPr>
      <w:jc w:val="both"/>
    </w:pPr>
    <w:rPr>
      <w:sz w:val="22"/>
    </w:rPr>
  </w:style>
  <w:style w:type="paragraph" w:customStyle="1" w:styleId="Tutke">
    <w:name w:val="Tutke"/>
    <w:basedOn w:val="Header"/>
    <w:link w:val="TutkeChar"/>
    <w:rsid w:val="00047FAD"/>
    <w:rPr>
      <w:caps w:val="0"/>
      <w:sz w:val="56"/>
      <w:szCs w:val="48"/>
    </w:rPr>
  </w:style>
  <w:style w:type="character" w:customStyle="1" w:styleId="TutkeChar">
    <w:name w:val="Tutke Char"/>
    <w:basedOn w:val="HeaderChar"/>
    <w:link w:val="Tutke"/>
    <w:rsid w:val="00047FAD"/>
    <w:rPr>
      <w:rFonts w:asciiTheme="majorHAnsi" w:eastAsiaTheme="minorEastAsia" w:hAnsiTheme="majorHAnsi"/>
      <w:caps w:val="0"/>
      <w:color w:val="000000" w:themeColor="text2"/>
      <w:spacing w:val="24"/>
      <w:sz w:val="56"/>
      <w:szCs w:val="48"/>
      <w:lang w:eastAsia="ja-JP"/>
    </w:rPr>
  </w:style>
  <w:style w:type="paragraph" w:styleId="Title">
    <w:name w:val="Title"/>
    <w:basedOn w:val="Normal"/>
    <w:next w:val="Normal"/>
    <w:link w:val="TitleChar"/>
    <w:uiPriority w:val="10"/>
    <w:qFormat/>
    <w:rsid w:val="00B9133C"/>
    <w:pPr>
      <w:spacing w:after="0" w:line="240" w:lineRule="auto"/>
      <w:contextualSpacing/>
    </w:pPr>
    <w:rPr>
      <w:rFonts w:asciiTheme="majorHAnsi" w:eastAsiaTheme="majorEastAsia" w:hAnsiTheme="majorHAnsi" w:cstheme="majorBidi"/>
      <w:color w:val="332F2E" w:themeColor="accent4"/>
      <w:spacing w:val="-10"/>
      <w:kern w:val="28"/>
      <w:sz w:val="52"/>
      <w:szCs w:val="56"/>
    </w:rPr>
  </w:style>
  <w:style w:type="character" w:customStyle="1" w:styleId="TitleChar">
    <w:name w:val="Title Char"/>
    <w:basedOn w:val="DefaultParagraphFont"/>
    <w:link w:val="Title"/>
    <w:uiPriority w:val="10"/>
    <w:rsid w:val="00B9133C"/>
    <w:rPr>
      <w:rFonts w:asciiTheme="majorHAnsi" w:eastAsiaTheme="majorEastAsia" w:hAnsiTheme="majorHAnsi" w:cstheme="majorBidi"/>
      <w:color w:val="332F2E" w:themeColor="accent4"/>
      <w:spacing w:val="-10"/>
      <w:kern w:val="28"/>
      <w:sz w:val="52"/>
      <w:szCs w:val="56"/>
      <w:lang w:eastAsia="ja-JP"/>
    </w:rPr>
  </w:style>
  <w:style w:type="paragraph" w:customStyle="1" w:styleId="FigureTableCaptions">
    <w:name w:val="Figure/Table Captions"/>
    <w:basedOn w:val="Caption"/>
    <w:link w:val="FigureTableCaptionsChar"/>
    <w:qFormat/>
    <w:rsid w:val="00C0348F"/>
    <w:pPr>
      <w:keepNext/>
    </w:pPr>
    <w:rPr>
      <w:color w:val="332F2E" w:themeColor="accent4"/>
    </w:rPr>
  </w:style>
  <w:style w:type="character" w:customStyle="1" w:styleId="CaptionChar">
    <w:name w:val="Caption Char"/>
    <w:basedOn w:val="DefaultParagraphFont"/>
    <w:link w:val="Caption"/>
    <w:uiPriority w:val="35"/>
    <w:rsid w:val="00C0348F"/>
    <w:rPr>
      <w:rFonts w:eastAsiaTheme="minorEastAsia"/>
      <w:color w:val="000000" w:themeColor="text2"/>
      <w:sz w:val="18"/>
      <w:szCs w:val="18"/>
      <w:lang w:eastAsia="ja-JP"/>
    </w:rPr>
  </w:style>
  <w:style w:type="character" w:customStyle="1" w:styleId="FigureTableCaptionsChar">
    <w:name w:val="Figure/Table Captions Char"/>
    <w:basedOn w:val="CaptionChar"/>
    <w:link w:val="FigureTableCaptions"/>
    <w:rsid w:val="00C0348F"/>
    <w:rPr>
      <w:rFonts w:eastAsiaTheme="minorEastAsia"/>
      <w:color w:val="332F2E" w:themeColor="accent4"/>
      <w:sz w:val="18"/>
      <w:szCs w:val="18"/>
      <w:lang w:eastAsia="ja-JP"/>
    </w:rPr>
  </w:style>
  <w:style w:type="table" w:customStyle="1" w:styleId="ListTable2-Accent31">
    <w:name w:val="List Table 2 - Accent 31"/>
    <w:basedOn w:val="TableNormal"/>
    <w:next w:val="ListTable2-Accent3"/>
    <w:uiPriority w:val="47"/>
    <w:rsid w:val="003B75C3"/>
    <w:pPr>
      <w:spacing w:after="0" w:line="240" w:lineRule="auto"/>
    </w:pPr>
    <w:rPr>
      <w:kern w:val="2"/>
      <w:sz w:val="24"/>
      <w:szCs w:val="24"/>
      <w14:ligatures w14:val="standardContextual"/>
    </w:rPr>
    <w:tblPr>
      <w:tblStyleRowBandSize w:val="1"/>
      <w:tblStyleColBandSize w:val="1"/>
      <w:tblBorders>
        <w:top w:val="single" w:sz="4" w:space="0" w:color="91A8D3"/>
        <w:bottom w:val="single" w:sz="4" w:space="0" w:color="91A8D3"/>
        <w:insideH w:val="single" w:sz="4" w:space="0" w:color="91A8D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2F0"/>
      </w:tcPr>
    </w:tblStylePr>
    <w:tblStylePr w:type="band1Horz">
      <w:tblPr/>
      <w:tcPr>
        <w:shd w:val="clear" w:color="auto" w:fill="DAE2F0"/>
      </w:tcPr>
    </w:tblStylePr>
  </w:style>
  <w:style w:type="table" w:styleId="ListTable2-Accent3">
    <w:name w:val="List Table 2 Accent 3"/>
    <w:basedOn w:val="TableNormal"/>
    <w:uiPriority w:val="47"/>
    <w:rsid w:val="003B75C3"/>
    <w:pPr>
      <w:spacing w:after="0" w:line="240" w:lineRule="auto"/>
    </w:pPr>
    <w:tblPr>
      <w:tblStyleRowBandSize w:val="1"/>
      <w:tblStyleColBandSize w:val="1"/>
      <w:tblBorders>
        <w:top w:val="single" w:sz="4" w:space="0" w:color="91A8D3" w:themeColor="accent3" w:themeTint="99"/>
        <w:bottom w:val="single" w:sz="4" w:space="0" w:color="91A8D3" w:themeColor="accent3" w:themeTint="99"/>
        <w:insideH w:val="single" w:sz="4" w:space="0" w:color="91A8D3"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2F0" w:themeFill="accent3" w:themeFillTint="33"/>
      </w:tcPr>
    </w:tblStylePr>
    <w:tblStylePr w:type="band1Horz">
      <w:tblPr/>
      <w:tcPr>
        <w:shd w:val="clear" w:color="auto" w:fill="DAE2F0" w:themeFill="accent3" w:themeFillTint="33"/>
      </w:tcPr>
    </w:tblStylePr>
  </w:style>
  <w:style w:type="paragraph" w:styleId="NoSpacing">
    <w:name w:val="No Spacing"/>
    <w:link w:val="NoSpacingChar"/>
    <w:uiPriority w:val="1"/>
    <w:qFormat/>
    <w:rsid w:val="00C310A4"/>
    <w:pPr>
      <w:spacing w:after="0" w:line="240" w:lineRule="auto"/>
    </w:pPr>
    <w:rPr>
      <w:rFonts w:eastAsiaTheme="minorEastAsia"/>
    </w:rPr>
  </w:style>
  <w:style w:type="character" w:customStyle="1" w:styleId="NoSpacingChar">
    <w:name w:val="No Spacing Char"/>
    <w:basedOn w:val="DefaultParagraphFont"/>
    <w:link w:val="NoSpacing"/>
    <w:uiPriority w:val="1"/>
    <w:rsid w:val="00C310A4"/>
    <w:rPr>
      <w:rFonts w:eastAsiaTheme="minorEastAsia"/>
    </w:rPr>
  </w:style>
  <w:style w:type="paragraph" w:customStyle="1" w:styleId="Style1">
    <w:name w:val="Style1"/>
    <w:basedOn w:val="Normal"/>
    <w:link w:val="Style1Char"/>
    <w:qFormat/>
    <w:rsid w:val="00210EB1"/>
    <w:pPr>
      <w:tabs>
        <w:tab w:val="center" w:pos="389"/>
        <w:tab w:val="right" w:pos="779"/>
      </w:tabs>
      <w:spacing w:after="0"/>
      <w:ind w:left="-29" w:firstLine="29"/>
      <w:jc w:val="center"/>
    </w:pPr>
    <w:rPr>
      <w:rFonts w:cs="Open Sans"/>
      <w:bCs/>
      <w:color w:val="332F2E" w:themeColor="accent4"/>
      <w:spacing w:val="18"/>
      <w:sz w:val="18"/>
      <w:szCs w:val="18"/>
    </w:rPr>
  </w:style>
  <w:style w:type="character" w:customStyle="1" w:styleId="Style1Char">
    <w:name w:val="Style1 Char"/>
    <w:basedOn w:val="DefaultParagraphFont"/>
    <w:link w:val="Style1"/>
    <w:rsid w:val="00210EB1"/>
    <w:rPr>
      <w:rFonts w:eastAsiaTheme="minorEastAsia" w:cs="Open Sans"/>
      <w:bCs/>
      <w:color w:val="332F2E" w:themeColor="accent4"/>
      <w:spacing w:val="18"/>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4.xml"/><Relationship Id="rId26" Type="http://schemas.openxmlformats.org/officeDocument/2006/relationships/image" Target="media/image5.png"/><Relationship Id="rId39" Type="http://schemas.openxmlformats.org/officeDocument/2006/relationships/hyperlink" Target="https://precip.eas.cornell.edu/" TargetMode="External"/><Relationship Id="rId21" Type="http://schemas.openxmlformats.org/officeDocument/2006/relationships/diagramLayout" Target="diagrams/layout1.xml"/><Relationship Id="rId34" Type="http://schemas.openxmlformats.org/officeDocument/2006/relationships/hyperlink" Target="https://portal.ct.gov/demhs/-/media/demhs/_docs/plans-and-publications/ehsp0024---2023-natural-hazard-mitigation-plan---final.pdf?rev=01aae6d47e8e4bf8a0e24f4ca71581ee&amp;hash=D7467FC0C0E730B61AD407EC3487AD9B" TargetMode="External"/><Relationship Id="rId42" Type="http://schemas.openxmlformats.org/officeDocument/2006/relationships/hyperlink" Target="https://maps.cteco.uconn.edu/" TargetMode="External"/><Relationship Id="rId47" Type="http://schemas.openxmlformats.org/officeDocument/2006/relationships/image" Target="media/image13.png"/><Relationship Id="rId50" Type="http://schemas.openxmlformats.org/officeDocument/2006/relationships/image" Target="media/image16.png"/><Relationship Id="rId55" Type="http://schemas.openxmlformats.org/officeDocument/2006/relationships/image" Target="media/image21.png"/><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8.png"/><Relationship Id="rId11" Type="http://schemas.openxmlformats.org/officeDocument/2006/relationships/webSettings" Target="webSettings.xml"/><Relationship Id="rId24" Type="http://schemas.microsoft.com/office/2007/relationships/diagramDrawing" Target="diagrams/drawing1.xml"/><Relationship Id="rId32" Type="http://schemas.openxmlformats.org/officeDocument/2006/relationships/hyperlink" Target="https://refresh-stg-c2es.pantheonsite.io/content/drought-and-climate-change/" TargetMode="External"/><Relationship Id="rId37" Type="http://schemas.openxmlformats.org/officeDocument/2006/relationships/hyperlink" Target="https://www.spc.noaa.gov/wcm/" TargetMode="External"/><Relationship Id="rId40" Type="http://schemas.openxmlformats.org/officeDocument/2006/relationships/hyperlink" Target="https://prism.oregonstate.edu" TargetMode="External"/><Relationship Id="rId45" Type="http://schemas.openxmlformats.org/officeDocument/2006/relationships/image" Target="media/image11.png"/><Relationship Id="rId53" Type="http://schemas.openxmlformats.org/officeDocument/2006/relationships/image" Target="media/image19.png"/><Relationship Id="rId58" Type="http://schemas.openxmlformats.org/officeDocument/2006/relationships/image" Target="media/image24.pn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footer" Target="footer5.xml"/><Relationship Id="rId14" Type="http://schemas.openxmlformats.org/officeDocument/2006/relationships/image" Target="media/image1.png"/><Relationship Id="rId22" Type="http://schemas.openxmlformats.org/officeDocument/2006/relationships/diagramQuickStyle" Target="diagrams/quickStyle1.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hyperlink" Target="https://www.fema.gov/flood-maps/products-tools/hazus" TargetMode="External"/><Relationship Id="rId43" Type="http://schemas.openxmlformats.org/officeDocument/2006/relationships/hyperlink" Target="https://resilientconnecticut.uconn.edu/datasets/" TargetMode="External"/><Relationship Id="rId48" Type="http://schemas.openxmlformats.org/officeDocument/2006/relationships/image" Target="media/image14.png"/><Relationship Id="rId56" Type="http://schemas.openxmlformats.org/officeDocument/2006/relationships/image" Target="media/image22.png"/><Relationship Id="rId8" Type="http://schemas.openxmlformats.org/officeDocument/2006/relationships/numbering" Target="numbering.xml"/><Relationship Id="rId51" Type="http://schemas.openxmlformats.org/officeDocument/2006/relationships/image" Target="media/image17.pn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3.xml"/><Relationship Id="rId25" Type="http://schemas.openxmlformats.org/officeDocument/2006/relationships/image" Target="media/image4.png"/><Relationship Id="rId33" Type="http://schemas.openxmlformats.org/officeDocument/2006/relationships/hyperlink" Target="https://statesummaries.ncics.org/chapter/ct/" TargetMode="External"/><Relationship Id="rId38" Type="http://schemas.openxmlformats.org/officeDocument/2006/relationships/hyperlink" Target="https://ny-idf-projections.nrcc.cornell.edu/index.html" TargetMode="External"/><Relationship Id="rId46" Type="http://schemas.openxmlformats.org/officeDocument/2006/relationships/image" Target="media/image12.png"/><Relationship Id="rId59" Type="http://schemas.openxmlformats.org/officeDocument/2006/relationships/image" Target="media/image25.png"/><Relationship Id="rId20" Type="http://schemas.openxmlformats.org/officeDocument/2006/relationships/diagramData" Target="diagrams/data1.xml"/><Relationship Id="rId41" Type="http://schemas.openxmlformats.org/officeDocument/2006/relationships/hyperlink" Target="https://clear.uconn.edu/mapping/data/" TargetMode="External"/><Relationship Id="rId54" Type="http://schemas.openxmlformats.org/officeDocument/2006/relationships/image" Target="media/image2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diagramColors" Target="diagrams/colors1.xml"/><Relationship Id="rId28" Type="http://schemas.openxmlformats.org/officeDocument/2006/relationships/image" Target="media/image7.png"/><Relationship Id="rId36" Type="http://schemas.openxmlformats.org/officeDocument/2006/relationships/hyperlink" Target="https://www.weather.gov/media/owp/oh/hdsc/docs/Atlas14_Volume10.pdf" TargetMode="External"/><Relationship Id="rId49" Type="http://schemas.openxmlformats.org/officeDocument/2006/relationships/image" Target="media/image15.png"/><Relationship Id="rId57" Type="http://schemas.openxmlformats.org/officeDocument/2006/relationships/image" Target="media/image23.png"/><Relationship Id="rId10" Type="http://schemas.openxmlformats.org/officeDocument/2006/relationships/settings" Target="settings.xml"/><Relationship Id="rId31" Type="http://schemas.openxmlformats.org/officeDocument/2006/relationships/image" Target="media/image10.jpeg"/><Relationship Id="rId44" Type="http://schemas.openxmlformats.org/officeDocument/2006/relationships/hyperlink" Target="https://westcog.org/wp-content/uploads/2021/08/HMP-2021.pdf" TargetMode="External"/><Relationship Id="rId52" Type="http://schemas.openxmlformats.org/officeDocument/2006/relationships/image" Target="media/image18.png"/><Relationship Id="rId60"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precip.eas.cornell.edu/" TargetMode="External"/><Relationship Id="rId2" Type="http://schemas.openxmlformats.org/officeDocument/2006/relationships/hyperlink" Target="https://www.weather.gov/media/owp/oh/hdsc/docs/Atlas14_Volume10.pdf" TargetMode="External"/><Relationship Id="rId1" Type="http://schemas.openxmlformats.org/officeDocument/2006/relationships/hyperlink" Target="https://circa.media.uconn.edu/wp-content/uploads/sites/1618/2019/11/CTPCSAR-Aug2019.pdf" TargetMode="External"/><Relationship Id="rId5" Type="http://schemas.openxmlformats.org/officeDocument/2006/relationships/hyperlink" Target="https://portal.ct.gov/-/media/deep/water/water_quality_management/guidance/swm_mar_2024.pdf?rev=1dafea8e03ca4ec98f5ec011d803f4dc&amp;hash=A49802ED8F721C491C85776C3E77CF51" TargetMode="External"/><Relationship Id="rId4" Type="http://schemas.openxmlformats.org/officeDocument/2006/relationships/hyperlink" Target="https://ny-idf-projections.nrcc.cornell.ed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ontes\AppData\Local\Temp\Templafy\WordVsto\2bau4mvn.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ABB0CCA-C3AC-4C66-B925-91C34E40A8E0}" type="doc">
      <dgm:prSet loTypeId="urn:microsoft.com/office/officeart/2005/8/layout/chevronAccent+Icon" loCatId="process" qsTypeId="urn:microsoft.com/office/officeart/2005/8/quickstyle/simple1" qsCatId="simple" csTypeId="urn:microsoft.com/office/officeart/2005/8/colors/accent1_2" csCatId="accent1" phldr="1"/>
      <dgm:spPr/>
    </dgm:pt>
    <dgm:pt modelId="{DF6C60D1-1320-4415-8C82-D6184B1C5A6A}">
      <dgm:prSet phldrT="[Text]"/>
      <dgm:spPr/>
      <dgm:t>
        <a:bodyPr/>
        <a:lstStyle/>
        <a:p>
          <a:r>
            <a:rPr lang="en-US"/>
            <a:t>Regional Hazard Assessment</a:t>
          </a:r>
        </a:p>
      </dgm:t>
    </dgm:pt>
    <dgm:pt modelId="{9000E490-3107-4919-BEBA-708B7419F45E}" type="parTrans" cxnId="{3E953396-7FFA-4667-969C-BDC78C0311A2}">
      <dgm:prSet/>
      <dgm:spPr/>
      <dgm:t>
        <a:bodyPr/>
        <a:lstStyle/>
        <a:p>
          <a:endParaRPr lang="en-US"/>
        </a:p>
      </dgm:t>
    </dgm:pt>
    <dgm:pt modelId="{4597AF01-D048-4297-879F-DED112FC0BB3}" type="sibTrans" cxnId="{3E953396-7FFA-4667-969C-BDC78C0311A2}">
      <dgm:prSet/>
      <dgm:spPr/>
      <dgm:t>
        <a:bodyPr/>
        <a:lstStyle/>
        <a:p>
          <a:endParaRPr lang="en-US"/>
        </a:p>
      </dgm:t>
    </dgm:pt>
    <dgm:pt modelId="{67010004-BB13-4B88-9BE4-94178BF583B4}">
      <dgm:prSet phldrT="[Text]"/>
      <dgm:spPr/>
      <dgm:t>
        <a:bodyPr/>
        <a:lstStyle/>
        <a:p>
          <a:r>
            <a:rPr lang="en-US"/>
            <a:t>Local Hazard Assessment</a:t>
          </a:r>
        </a:p>
      </dgm:t>
    </dgm:pt>
    <dgm:pt modelId="{AFEF8FA8-9EE3-4754-96A8-2C9DD50722B7}" type="parTrans" cxnId="{8721E074-85BF-4C04-99B9-639D1CADC68A}">
      <dgm:prSet/>
      <dgm:spPr/>
      <dgm:t>
        <a:bodyPr/>
        <a:lstStyle/>
        <a:p>
          <a:endParaRPr lang="en-US"/>
        </a:p>
      </dgm:t>
    </dgm:pt>
    <dgm:pt modelId="{E9CAC724-A5C3-445F-B2EE-EA2D759D6BA8}" type="sibTrans" cxnId="{8721E074-85BF-4C04-99B9-639D1CADC68A}">
      <dgm:prSet/>
      <dgm:spPr/>
      <dgm:t>
        <a:bodyPr/>
        <a:lstStyle/>
        <a:p>
          <a:endParaRPr lang="en-US"/>
        </a:p>
      </dgm:t>
    </dgm:pt>
    <dgm:pt modelId="{7C99079B-F62C-41C2-BD95-5269FCF72174}">
      <dgm:prSet phldrT="[Text]"/>
      <dgm:spPr/>
      <dgm:t>
        <a:bodyPr/>
        <a:lstStyle/>
        <a:p>
          <a:r>
            <a:rPr lang="en-US"/>
            <a:t>Local POCD Climate Chapter Template</a:t>
          </a:r>
        </a:p>
      </dgm:t>
    </dgm:pt>
    <dgm:pt modelId="{0BE9C04B-F288-4C95-8D77-8C7D71EF9B96}" type="parTrans" cxnId="{E2B5FC94-5AD0-42E3-8294-3C0B32A9563A}">
      <dgm:prSet/>
      <dgm:spPr/>
      <dgm:t>
        <a:bodyPr/>
        <a:lstStyle/>
        <a:p>
          <a:endParaRPr lang="en-US"/>
        </a:p>
      </dgm:t>
    </dgm:pt>
    <dgm:pt modelId="{CED36C7E-6700-4214-A633-9CA3326C35F5}" type="sibTrans" cxnId="{E2B5FC94-5AD0-42E3-8294-3C0B32A9563A}">
      <dgm:prSet/>
      <dgm:spPr/>
      <dgm:t>
        <a:bodyPr/>
        <a:lstStyle/>
        <a:p>
          <a:endParaRPr lang="en-US"/>
        </a:p>
      </dgm:t>
    </dgm:pt>
    <dgm:pt modelId="{F31FD853-46EE-4C9E-9621-6857925281C9}">
      <dgm:prSet phldrT="[Text]"/>
      <dgm:spPr/>
      <dgm:t>
        <a:bodyPr/>
        <a:lstStyle/>
        <a:p>
          <a:r>
            <a:rPr lang="en-US"/>
            <a:t>Local Information Packaging</a:t>
          </a:r>
        </a:p>
      </dgm:t>
    </dgm:pt>
    <dgm:pt modelId="{7E2B350E-BB46-4AD2-A48C-2FFA7DFD26CA}" type="parTrans" cxnId="{2835DB08-A75B-4DDA-B691-AED8D1BCD64E}">
      <dgm:prSet/>
      <dgm:spPr/>
      <dgm:t>
        <a:bodyPr/>
        <a:lstStyle/>
        <a:p>
          <a:endParaRPr lang="en-US"/>
        </a:p>
      </dgm:t>
    </dgm:pt>
    <dgm:pt modelId="{0BD1655C-869F-4328-8D92-BB6BA55FFE40}" type="sibTrans" cxnId="{2835DB08-A75B-4DDA-B691-AED8D1BCD64E}">
      <dgm:prSet/>
      <dgm:spPr/>
      <dgm:t>
        <a:bodyPr/>
        <a:lstStyle/>
        <a:p>
          <a:endParaRPr lang="en-US"/>
        </a:p>
      </dgm:t>
    </dgm:pt>
    <dgm:pt modelId="{6F27B4E7-AF1C-4435-A5BD-317F0EA398BF}" type="pres">
      <dgm:prSet presAssocID="{5ABB0CCA-C3AC-4C66-B925-91C34E40A8E0}" presName="Name0" presStyleCnt="0">
        <dgm:presLayoutVars>
          <dgm:dir/>
          <dgm:resizeHandles val="exact"/>
        </dgm:presLayoutVars>
      </dgm:prSet>
      <dgm:spPr/>
    </dgm:pt>
    <dgm:pt modelId="{AB4C7455-2E85-47EA-B3C1-0721D1BE643A}" type="pres">
      <dgm:prSet presAssocID="{DF6C60D1-1320-4415-8C82-D6184B1C5A6A}" presName="composite" presStyleCnt="0"/>
      <dgm:spPr/>
    </dgm:pt>
    <dgm:pt modelId="{8A9A44CC-163F-4DFB-B661-066078F4DC51}" type="pres">
      <dgm:prSet presAssocID="{DF6C60D1-1320-4415-8C82-D6184B1C5A6A}" presName="bgChev" presStyleLbl="node1" presStyleIdx="0" presStyleCnt="4"/>
      <dgm:spPr/>
    </dgm:pt>
    <dgm:pt modelId="{0F8F0100-2390-44C8-AD6A-1B55E9891A19}" type="pres">
      <dgm:prSet presAssocID="{DF6C60D1-1320-4415-8C82-D6184B1C5A6A}" presName="txNode" presStyleLbl="fgAcc1" presStyleIdx="0" presStyleCnt="4">
        <dgm:presLayoutVars>
          <dgm:bulletEnabled val="1"/>
        </dgm:presLayoutVars>
      </dgm:prSet>
      <dgm:spPr/>
    </dgm:pt>
    <dgm:pt modelId="{F487165C-608B-4C17-8928-9C51C5196545}" type="pres">
      <dgm:prSet presAssocID="{4597AF01-D048-4297-879F-DED112FC0BB3}" presName="compositeSpace" presStyleCnt="0"/>
      <dgm:spPr/>
    </dgm:pt>
    <dgm:pt modelId="{7D32F28E-4D6A-4AAF-B92B-EB796669C020}" type="pres">
      <dgm:prSet presAssocID="{67010004-BB13-4B88-9BE4-94178BF583B4}" presName="composite" presStyleCnt="0"/>
      <dgm:spPr/>
    </dgm:pt>
    <dgm:pt modelId="{1CDCDE2A-F8EE-4FC0-9533-60FFE762B391}" type="pres">
      <dgm:prSet presAssocID="{67010004-BB13-4B88-9BE4-94178BF583B4}" presName="bgChev" presStyleLbl="node1" presStyleIdx="1" presStyleCnt="4"/>
      <dgm:spPr/>
    </dgm:pt>
    <dgm:pt modelId="{EC9DEF14-CDAC-480D-970D-D9B08AAEDD39}" type="pres">
      <dgm:prSet presAssocID="{67010004-BB13-4B88-9BE4-94178BF583B4}" presName="txNode" presStyleLbl="fgAcc1" presStyleIdx="1" presStyleCnt="4">
        <dgm:presLayoutVars>
          <dgm:bulletEnabled val="1"/>
        </dgm:presLayoutVars>
      </dgm:prSet>
      <dgm:spPr/>
    </dgm:pt>
    <dgm:pt modelId="{56EFF0E3-DE24-4932-ADF0-71F517665E67}" type="pres">
      <dgm:prSet presAssocID="{E9CAC724-A5C3-445F-B2EE-EA2D759D6BA8}" presName="compositeSpace" presStyleCnt="0"/>
      <dgm:spPr/>
    </dgm:pt>
    <dgm:pt modelId="{DD58E01F-BBF1-4D82-BD42-979DFA4C6D08}" type="pres">
      <dgm:prSet presAssocID="{F31FD853-46EE-4C9E-9621-6857925281C9}" presName="composite" presStyleCnt="0"/>
      <dgm:spPr/>
    </dgm:pt>
    <dgm:pt modelId="{A1C9567D-DC94-4440-967B-FC58D00E6A9C}" type="pres">
      <dgm:prSet presAssocID="{F31FD853-46EE-4C9E-9621-6857925281C9}" presName="bgChev" presStyleLbl="node1" presStyleIdx="2" presStyleCnt="4"/>
      <dgm:spPr/>
    </dgm:pt>
    <dgm:pt modelId="{6623B937-F99A-4AF5-9C59-54DD75456E9A}" type="pres">
      <dgm:prSet presAssocID="{F31FD853-46EE-4C9E-9621-6857925281C9}" presName="txNode" presStyleLbl="fgAcc1" presStyleIdx="2" presStyleCnt="4">
        <dgm:presLayoutVars>
          <dgm:bulletEnabled val="1"/>
        </dgm:presLayoutVars>
      </dgm:prSet>
      <dgm:spPr/>
    </dgm:pt>
    <dgm:pt modelId="{25733C7C-84FB-4E9A-8FAB-D53601332E1C}" type="pres">
      <dgm:prSet presAssocID="{0BD1655C-869F-4328-8D92-BB6BA55FFE40}" presName="compositeSpace" presStyleCnt="0"/>
      <dgm:spPr/>
    </dgm:pt>
    <dgm:pt modelId="{C1CC09EE-80A0-45EA-B648-36A57AC518C7}" type="pres">
      <dgm:prSet presAssocID="{7C99079B-F62C-41C2-BD95-5269FCF72174}" presName="composite" presStyleCnt="0"/>
      <dgm:spPr/>
    </dgm:pt>
    <dgm:pt modelId="{663C25A9-0487-4530-837C-CC77767824D6}" type="pres">
      <dgm:prSet presAssocID="{7C99079B-F62C-41C2-BD95-5269FCF72174}" presName="bgChev" presStyleLbl="node1" presStyleIdx="3" presStyleCnt="4"/>
      <dgm:spPr/>
    </dgm:pt>
    <dgm:pt modelId="{F231A99D-B017-4237-AEA9-78B3B66D8FB5}" type="pres">
      <dgm:prSet presAssocID="{7C99079B-F62C-41C2-BD95-5269FCF72174}" presName="txNode" presStyleLbl="fgAcc1" presStyleIdx="3" presStyleCnt="4">
        <dgm:presLayoutVars>
          <dgm:bulletEnabled val="1"/>
        </dgm:presLayoutVars>
      </dgm:prSet>
      <dgm:spPr/>
    </dgm:pt>
  </dgm:ptLst>
  <dgm:cxnLst>
    <dgm:cxn modelId="{2835DB08-A75B-4DDA-B691-AED8D1BCD64E}" srcId="{5ABB0CCA-C3AC-4C66-B925-91C34E40A8E0}" destId="{F31FD853-46EE-4C9E-9621-6857925281C9}" srcOrd="2" destOrd="0" parTransId="{7E2B350E-BB46-4AD2-A48C-2FFA7DFD26CA}" sibTransId="{0BD1655C-869F-4328-8D92-BB6BA55FFE40}"/>
    <dgm:cxn modelId="{92237633-56F3-4E82-897F-71276378C080}" type="presOf" srcId="{7C99079B-F62C-41C2-BD95-5269FCF72174}" destId="{F231A99D-B017-4237-AEA9-78B3B66D8FB5}" srcOrd="0" destOrd="0" presId="urn:microsoft.com/office/officeart/2005/8/layout/chevronAccent+Icon"/>
    <dgm:cxn modelId="{FE2AD863-4ABB-4175-80F4-A121E65050F8}" type="presOf" srcId="{DF6C60D1-1320-4415-8C82-D6184B1C5A6A}" destId="{0F8F0100-2390-44C8-AD6A-1B55E9891A19}" srcOrd="0" destOrd="0" presId="urn:microsoft.com/office/officeart/2005/8/layout/chevronAccent+Icon"/>
    <dgm:cxn modelId="{209ECD68-6189-427B-A5A7-61521E64A0C4}" type="presOf" srcId="{5ABB0CCA-C3AC-4C66-B925-91C34E40A8E0}" destId="{6F27B4E7-AF1C-4435-A5BD-317F0EA398BF}" srcOrd="0" destOrd="0" presId="urn:microsoft.com/office/officeart/2005/8/layout/chevronAccent+Icon"/>
    <dgm:cxn modelId="{A343F06B-BA31-4013-BC8B-C9CD22B6F6C5}" type="presOf" srcId="{F31FD853-46EE-4C9E-9621-6857925281C9}" destId="{6623B937-F99A-4AF5-9C59-54DD75456E9A}" srcOrd="0" destOrd="0" presId="urn:microsoft.com/office/officeart/2005/8/layout/chevronAccent+Icon"/>
    <dgm:cxn modelId="{E6EA4D4D-F511-41F9-9030-F25702E94FF6}" type="presOf" srcId="{67010004-BB13-4B88-9BE4-94178BF583B4}" destId="{EC9DEF14-CDAC-480D-970D-D9B08AAEDD39}" srcOrd="0" destOrd="0" presId="urn:microsoft.com/office/officeart/2005/8/layout/chevronAccent+Icon"/>
    <dgm:cxn modelId="{8721E074-85BF-4C04-99B9-639D1CADC68A}" srcId="{5ABB0CCA-C3AC-4C66-B925-91C34E40A8E0}" destId="{67010004-BB13-4B88-9BE4-94178BF583B4}" srcOrd="1" destOrd="0" parTransId="{AFEF8FA8-9EE3-4754-96A8-2C9DD50722B7}" sibTransId="{E9CAC724-A5C3-445F-B2EE-EA2D759D6BA8}"/>
    <dgm:cxn modelId="{E2B5FC94-5AD0-42E3-8294-3C0B32A9563A}" srcId="{5ABB0CCA-C3AC-4C66-B925-91C34E40A8E0}" destId="{7C99079B-F62C-41C2-BD95-5269FCF72174}" srcOrd="3" destOrd="0" parTransId="{0BE9C04B-F288-4C95-8D77-8C7D71EF9B96}" sibTransId="{CED36C7E-6700-4214-A633-9CA3326C35F5}"/>
    <dgm:cxn modelId="{3E953396-7FFA-4667-969C-BDC78C0311A2}" srcId="{5ABB0CCA-C3AC-4C66-B925-91C34E40A8E0}" destId="{DF6C60D1-1320-4415-8C82-D6184B1C5A6A}" srcOrd="0" destOrd="0" parTransId="{9000E490-3107-4919-BEBA-708B7419F45E}" sibTransId="{4597AF01-D048-4297-879F-DED112FC0BB3}"/>
    <dgm:cxn modelId="{5BADE13B-7667-427C-A2E3-F1242E473E93}" type="presParOf" srcId="{6F27B4E7-AF1C-4435-A5BD-317F0EA398BF}" destId="{AB4C7455-2E85-47EA-B3C1-0721D1BE643A}" srcOrd="0" destOrd="0" presId="urn:microsoft.com/office/officeart/2005/8/layout/chevronAccent+Icon"/>
    <dgm:cxn modelId="{FC9A5AA0-D3CB-4708-8C7D-5DA2B97E3E62}" type="presParOf" srcId="{AB4C7455-2E85-47EA-B3C1-0721D1BE643A}" destId="{8A9A44CC-163F-4DFB-B661-066078F4DC51}" srcOrd="0" destOrd="0" presId="urn:microsoft.com/office/officeart/2005/8/layout/chevronAccent+Icon"/>
    <dgm:cxn modelId="{6F5C28B6-003C-4BFD-8428-ECAC5B7FB0AD}" type="presParOf" srcId="{AB4C7455-2E85-47EA-B3C1-0721D1BE643A}" destId="{0F8F0100-2390-44C8-AD6A-1B55E9891A19}" srcOrd="1" destOrd="0" presId="urn:microsoft.com/office/officeart/2005/8/layout/chevronAccent+Icon"/>
    <dgm:cxn modelId="{681F203E-E515-4BAF-A5AD-888A4715B33A}" type="presParOf" srcId="{6F27B4E7-AF1C-4435-A5BD-317F0EA398BF}" destId="{F487165C-608B-4C17-8928-9C51C5196545}" srcOrd="1" destOrd="0" presId="urn:microsoft.com/office/officeart/2005/8/layout/chevronAccent+Icon"/>
    <dgm:cxn modelId="{78BBBC80-AE58-4969-8BA2-CFB6760D6ACD}" type="presParOf" srcId="{6F27B4E7-AF1C-4435-A5BD-317F0EA398BF}" destId="{7D32F28E-4D6A-4AAF-B92B-EB796669C020}" srcOrd="2" destOrd="0" presId="urn:microsoft.com/office/officeart/2005/8/layout/chevronAccent+Icon"/>
    <dgm:cxn modelId="{E27AFF29-68F2-47FC-8AEF-E195E9BD783A}" type="presParOf" srcId="{7D32F28E-4D6A-4AAF-B92B-EB796669C020}" destId="{1CDCDE2A-F8EE-4FC0-9533-60FFE762B391}" srcOrd="0" destOrd="0" presId="urn:microsoft.com/office/officeart/2005/8/layout/chevronAccent+Icon"/>
    <dgm:cxn modelId="{5F8CFAFE-8030-4A1D-80B3-D5EA5D9CD580}" type="presParOf" srcId="{7D32F28E-4D6A-4AAF-B92B-EB796669C020}" destId="{EC9DEF14-CDAC-480D-970D-D9B08AAEDD39}" srcOrd="1" destOrd="0" presId="urn:microsoft.com/office/officeart/2005/8/layout/chevronAccent+Icon"/>
    <dgm:cxn modelId="{14AEE48D-3F21-41E1-B490-22F66C01333E}" type="presParOf" srcId="{6F27B4E7-AF1C-4435-A5BD-317F0EA398BF}" destId="{56EFF0E3-DE24-4932-ADF0-71F517665E67}" srcOrd="3" destOrd="0" presId="urn:microsoft.com/office/officeart/2005/8/layout/chevronAccent+Icon"/>
    <dgm:cxn modelId="{0776C161-83E9-43AB-96F0-6FC96BAF8E07}" type="presParOf" srcId="{6F27B4E7-AF1C-4435-A5BD-317F0EA398BF}" destId="{DD58E01F-BBF1-4D82-BD42-979DFA4C6D08}" srcOrd="4" destOrd="0" presId="urn:microsoft.com/office/officeart/2005/8/layout/chevronAccent+Icon"/>
    <dgm:cxn modelId="{C66017AA-B31B-41E4-94C3-5297935F9D21}" type="presParOf" srcId="{DD58E01F-BBF1-4D82-BD42-979DFA4C6D08}" destId="{A1C9567D-DC94-4440-967B-FC58D00E6A9C}" srcOrd="0" destOrd="0" presId="urn:microsoft.com/office/officeart/2005/8/layout/chevronAccent+Icon"/>
    <dgm:cxn modelId="{CBECEFE0-0B0A-4082-B536-5166074B4D08}" type="presParOf" srcId="{DD58E01F-BBF1-4D82-BD42-979DFA4C6D08}" destId="{6623B937-F99A-4AF5-9C59-54DD75456E9A}" srcOrd="1" destOrd="0" presId="urn:microsoft.com/office/officeart/2005/8/layout/chevronAccent+Icon"/>
    <dgm:cxn modelId="{ED002F68-742C-44E5-B01D-A078B5DEFC1E}" type="presParOf" srcId="{6F27B4E7-AF1C-4435-A5BD-317F0EA398BF}" destId="{25733C7C-84FB-4E9A-8FAB-D53601332E1C}" srcOrd="5" destOrd="0" presId="urn:microsoft.com/office/officeart/2005/8/layout/chevronAccent+Icon"/>
    <dgm:cxn modelId="{A7421149-AE80-4D35-B230-358EA8069CDD}" type="presParOf" srcId="{6F27B4E7-AF1C-4435-A5BD-317F0EA398BF}" destId="{C1CC09EE-80A0-45EA-B648-36A57AC518C7}" srcOrd="6" destOrd="0" presId="urn:microsoft.com/office/officeart/2005/8/layout/chevronAccent+Icon"/>
    <dgm:cxn modelId="{3C752E0A-5728-4D10-9076-6E1E677E8AF1}" type="presParOf" srcId="{C1CC09EE-80A0-45EA-B648-36A57AC518C7}" destId="{663C25A9-0487-4530-837C-CC77767824D6}" srcOrd="0" destOrd="0" presId="urn:microsoft.com/office/officeart/2005/8/layout/chevronAccent+Icon"/>
    <dgm:cxn modelId="{F6B9FE96-EB7B-40B5-8D0D-25F56B758FC4}" type="presParOf" srcId="{C1CC09EE-80A0-45EA-B648-36A57AC518C7}" destId="{F231A99D-B017-4237-AEA9-78B3B66D8FB5}" srcOrd="1" destOrd="0" presId="urn:microsoft.com/office/officeart/2005/8/layout/chevronAccent+Icon"/>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9A44CC-163F-4DFB-B661-066078F4DC51}">
      <dsp:nvSpPr>
        <dsp:cNvPr id="0" name=""/>
        <dsp:cNvSpPr/>
      </dsp:nvSpPr>
      <dsp:spPr>
        <a:xfrm>
          <a:off x="2566" y="215954"/>
          <a:ext cx="1207918" cy="466256"/>
        </a:xfrm>
        <a:prstGeom prst="chevron">
          <a:avLst>
            <a:gd name="adj" fmla="val 4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F8F0100-2390-44C8-AD6A-1B55E9891A19}">
      <dsp:nvSpPr>
        <dsp:cNvPr id="0" name=""/>
        <dsp:cNvSpPr/>
      </dsp:nvSpPr>
      <dsp:spPr>
        <a:xfrm>
          <a:off x="324678" y="332518"/>
          <a:ext cx="1020020" cy="4662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n-US" sz="700" kern="1200"/>
            <a:t>Regional Hazard Assessment</a:t>
          </a:r>
        </a:p>
      </dsp:txBody>
      <dsp:txXfrm>
        <a:off x="338334" y="346174"/>
        <a:ext cx="992708" cy="438944"/>
      </dsp:txXfrm>
    </dsp:sp>
    <dsp:sp modelId="{1CDCDE2A-F8EE-4FC0-9533-60FFE762B391}">
      <dsp:nvSpPr>
        <dsp:cNvPr id="0" name=""/>
        <dsp:cNvSpPr/>
      </dsp:nvSpPr>
      <dsp:spPr>
        <a:xfrm>
          <a:off x="1382278" y="215954"/>
          <a:ext cx="1207918" cy="466256"/>
        </a:xfrm>
        <a:prstGeom prst="chevron">
          <a:avLst>
            <a:gd name="adj" fmla="val 4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C9DEF14-CDAC-480D-970D-D9B08AAEDD39}">
      <dsp:nvSpPr>
        <dsp:cNvPr id="0" name=""/>
        <dsp:cNvSpPr/>
      </dsp:nvSpPr>
      <dsp:spPr>
        <a:xfrm>
          <a:off x="1704389" y="332518"/>
          <a:ext cx="1020020" cy="4662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n-US" sz="700" kern="1200"/>
            <a:t>Local Hazard Assessment</a:t>
          </a:r>
        </a:p>
      </dsp:txBody>
      <dsp:txXfrm>
        <a:off x="1718045" y="346174"/>
        <a:ext cx="992708" cy="438944"/>
      </dsp:txXfrm>
    </dsp:sp>
    <dsp:sp modelId="{A1C9567D-DC94-4440-967B-FC58D00E6A9C}">
      <dsp:nvSpPr>
        <dsp:cNvPr id="0" name=""/>
        <dsp:cNvSpPr/>
      </dsp:nvSpPr>
      <dsp:spPr>
        <a:xfrm>
          <a:off x="2761989" y="215954"/>
          <a:ext cx="1207918" cy="466256"/>
        </a:xfrm>
        <a:prstGeom prst="chevron">
          <a:avLst>
            <a:gd name="adj" fmla="val 4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623B937-F99A-4AF5-9C59-54DD75456E9A}">
      <dsp:nvSpPr>
        <dsp:cNvPr id="0" name=""/>
        <dsp:cNvSpPr/>
      </dsp:nvSpPr>
      <dsp:spPr>
        <a:xfrm>
          <a:off x="3084101" y="332518"/>
          <a:ext cx="1020020" cy="4662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n-US" sz="700" kern="1200"/>
            <a:t>Local Information Packaging</a:t>
          </a:r>
        </a:p>
      </dsp:txBody>
      <dsp:txXfrm>
        <a:off x="3097757" y="346174"/>
        <a:ext cx="992708" cy="438944"/>
      </dsp:txXfrm>
    </dsp:sp>
    <dsp:sp modelId="{663C25A9-0487-4530-837C-CC77767824D6}">
      <dsp:nvSpPr>
        <dsp:cNvPr id="0" name=""/>
        <dsp:cNvSpPr/>
      </dsp:nvSpPr>
      <dsp:spPr>
        <a:xfrm>
          <a:off x="4141701" y="215954"/>
          <a:ext cx="1207918" cy="466256"/>
        </a:xfrm>
        <a:prstGeom prst="chevron">
          <a:avLst>
            <a:gd name="adj" fmla="val 4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231A99D-B017-4237-AEA9-78B3B66D8FB5}">
      <dsp:nvSpPr>
        <dsp:cNvPr id="0" name=""/>
        <dsp:cNvSpPr/>
      </dsp:nvSpPr>
      <dsp:spPr>
        <a:xfrm>
          <a:off x="4463813" y="332518"/>
          <a:ext cx="1020020" cy="4662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n-US" sz="700" kern="1200"/>
            <a:t>Local POCD Climate Chapter Template</a:t>
          </a:r>
        </a:p>
      </dsp:txBody>
      <dsp:txXfrm>
        <a:off x="4477469" y="346174"/>
        <a:ext cx="992708" cy="438944"/>
      </dsp:txXfrm>
    </dsp:sp>
  </dsp:spTree>
</dsp:drawing>
</file>

<file path=word/diagrams/layout1.xml><?xml version="1.0" encoding="utf-8"?>
<dgm:layoutDef xmlns:dgm="http://schemas.openxmlformats.org/drawingml/2006/diagram" xmlns:a="http://schemas.openxmlformats.org/drawingml/2006/main" uniqueId="urn:microsoft.com/office/officeart/2005/8/layout/chevronAccent+Icon">
  <dgm:title val="Chevron Accent Process"/>
  <dgm:desc val="Use to show sequential steps in a task, process, or workflow, or to emphasize movement or direction. Works best with minimal Level 1 and Level 2 text."/>
  <dgm:catLst>
    <dgm:cat type="process" pri="9500"/>
    <dgm:cat type="officeonline" pri="2000"/>
  </dgm:catLst>
  <dgm:sampData useDef="1">
    <dgm:dataModel>
      <dgm:pt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primFontSz" for="des" forName="txNode" op="equ" val="65"/>
      <dgm:constr type="w" for="ch" forName="compositeSpace" refType="w" refFor="ch" refForName="composite" fact="0.02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bgChev"/>
              <dgm:constr type="w" for="ch" forName="bgChev" refType="w" fact="0.9"/>
              <dgm:constr type="t" for="ch" forName="bgChev"/>
              <dgm:constr type="h" for="ch" forName="bgChev" refType="w" refFor="ch" refForName="bgChev" fact="0.386"/>
              <dgm:constr type="l" for="ch" forName="txNode" refType="w" fact="0.24"/>
              <dgm:constr type="w" for="ch" forName="txNode" refType="w" fact="0.76"/>
              <dgm:constr type="t" for="ch" forName="txNode" refType="h" refFor="ch" refForName="bgChev" fact="0.25"/>
              <dgm:constr type="h" for="ch" forName="txNode" refType="h" refFor="ch" refForName="bgChev"/>
            </dgm:constrLst>
          </dgm:if>
          <dgm:else name="Name7">
            <dgm:constrLst>
              <dgm:constr type="l" for="ch" forName="bgChev" refType="w" fact="0.1"/>
              <dgm:constr type="w" for="ch" forName="bgChev" refType="w" fact="0.9"/>
              <dgm:constr type="t" for="ch" forName="bgChev"/>
              <dgm:constr type="h" for="ch" forName="bgChev" refType="w" refFor="ch" refForName="bgChev" fact="0.386"/>
              <dgm:constr type="l" for="ch" forName="txNode"/>
              <dgm:constr type="w" for="ch" forName="txNode" refType="w" fact="0.76"/>
              <dgm:constr type="t" for="ch" forName="txNode" refType="h" refFor="ch" refForName="bgChev" fact="0.25"/>
              <dgm:constr type="h" for="ch" forName="txNode" refType="h" refFor="ch" refForName="bgChev"/>
            </dgm:constrLst>
          </dgm:else>
        </dgm:choose>
        <dgm:ruleLst/>
        <dgm:layoutNode name="bgChev" styleLbl="node1">
          <dgm:alg type="sp"/>
          <dgm:choose name="Name8">
            <dgm:if name="Name9" func="var" arg="dir" op="equ" val="norm">
              <dgm:shape xmlns:r="http://schemas.openxmlformats.org/officeDocument/2006/relationships" type="chevron" r:blip="">
                <dgm:adjLst>
                  <dgm:adj idx="1" val="0.4"/>
                </dgm:adjLst>
              </dgm:shape>
            </dgm:if>
            <dgm:else name="Name10">
              <dgm:shape xmlns:r="http://schemas.openxmlformats.org/officeDocument/2006/relationships" rot="180" type="chevron" r:blip="">
                <dgm:adjLst>
                  <dgm:adj idx="1" val="0.4"/>
                </dgm:adjLst>
              </dgm:shape>
            </dgm:else>
          </dgm:choose>
          <dgm:presOf/>
          <dgm:constrLst/>
        </dgm:layoutNode>
        <dgm:layoutNode name="txNode" styleLbl="fgAcc1">
          <dgm:varLst>
            <dgm:bulletEnabled val="1"/>
          </dgm:varLst>
          <dgm:alg type="tx"/>
          <dgm:shape xmlns:r="http://schemas.openxmlformats.org/officeDocument/2006/relationships" type="roundRect" r:blip="">
            <dgm:adjLst>
              <dgm:adj idx="1" val="0.1"/>
            </dgm:adjLst>
          </dgm:shape>
          <dgm:presOf axis="desOrSelf" ptType="node"/>
          <dgm:ruleLst>
            <dgm:rule type="primFontSz" val="5" fact="NaN" max="NaN"/>
          </dgm:ruleLst>
        </dgm:layoutNode>
      </dgm:layoutNode>
      <dgm:forEach name="Name11" axis="followSib" ptType="sibTrans" cnt="1">
        <dgm:layoutNode name="compositeSpace">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BE3-Corp-Microsoft">
  <a:themeElements>
    <a:clrScheme name="WEST COG">
      <a:dk1>
        <a:srgbClr val="000000"/>
      </a:dk1>
      <a:lt1>
        <a:srgbClr val="FFFFFF"/>
      </a:lt1>
      <a:dk2>
        <a:srgbClr val="000000"/>
      </a:dk2>
      <a:lt2>
        <a:srgbClr val="FFFFFF"/>
      </a:lt2>
      <a:accent1>
        <a:srgbClr val="6FAD45"/>
      </a:accent1>
      <a:accent2>
        <a:srgbClr val="FFD967"/>
      </a:accent2>
      <a:accent3>
        <a:srgbClr val="4970B7"/>
      </a:accent3>
      <a:accent4>
        <a:srgbClr val="332F2E"/>
      </a:accent4>
      <a:accent5>
        <a:srgbClr val="AD6145"/>
      </a:accent5>
      <a:accent6>
        <a:srgbClr val="4A5841"/>
      </a:accent6>
      <a:hlink>
        <a:srgbClr val="4970B7"/>
      </a:hlink>
      <a:folHlink>
        <a:srgbClr val="AD6145"/>
      </a:folHlink>
    </a:clrScheme>
    <a:fontScheme name="Lato">
      <a:majorFont>
        <a:latin typeface="Lato Black"/>
        <a:ea typeface=""/>
        <a:cs typeface=""/>
      </a:majorFont>
      <a:minorFont>
        <a:latin typeface="La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defPPr algn="ctr">
          <a:defRPr/>
        </a:defPPr>
      </a:lstStyle>
      <a:style>
        <a:lnRef idx="0">
          <a:scrgbClr r="0" g="0" b="0"/>
        </a:lnRef>
        <a:fillRef idx="0">
          <a:scrgbClr r="0" g="0" b="0"/>
        </a:fillRef>
        <a:effectRef idx="0">
          <a:scrgbClr r="0" g="0" b="0"/>
        </a:effectRef>
        <a:fontRef idx="minor">
          <a:schemeClr val="lt1"/>
        </a:fontRef>
      </a:style>
    </a:spDef>
    <a:lnDef>
      <a:spPr>
        <a:ln w="19050" cap="rnd">
          <a:solidFill>
            <a:schemeClr val="bg2"/>
          </a:solidFill>
          <a:prstDash val="sysDot"/>
          <a:bevel/>
        </a:ln>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320040" indent="-274320" algn="l">
          <a:buClr>
            <a:schemeClr val="tx2"/>
          </a:buClr>
          <a:buFont typeface="Arial" panose="020B0604020202020204" pitchFamily="34" charset="0"/>
          <a:buChar char="•"/>
          <a:defRPr sz="2800" dirty="0" smtClean="0">
            <a:solidFill>
              <a:schemeClr val="bg2"/>
            </a:solidFill>
          </a:defRPr>
        </a:defPPr>
      </a:lstStyle>
    </a:txDef>
  </a:objectDefaults>
  <a:extraClrSchemeLst/>
  <a:extLst>
    <a:ext uri="{05A4C25C-085E-4340-85A3-A5531E510DB2}">
      <thm15:themeFamily xmlns:thm15="http://schemas.microsoft.com/office/thememl/2012/main" name="BE3-Corp-Microsoft" id="{C8B87D0A-BC17-43CC-9FBB-2122A0ACC272}" vid="{B161C14F-17AE-4B9A-A753-7DCE77198D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e81dfa97-4093-492e-9932-e13dc4c57265"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3E90D8A25C8044CB542FA827551D795" ma:contentTypeVersion="17" ma:contentTypeDescription="Create a new document." ma:contentTypeScope="" ma:versionID="76187abf4b9406c225f4fadf00641ba3">
  <xsd:schema xmlns:xsd="http://www.w3.org/2001/XMLSchema" xmlns:xs="http://www.w3.org/2001/XMLSchema" xmlns:p="http://schemas.microsoft.com/office/2006/metadata/properties" xmlns:ns1="http://schemas.microsoft.com/sharepoint/v3" xmlns:ns2="a0497db2-573c-4aa0-93dd-8a7e01e77e2f" xmlns:ns3="848dac44-6319-4190-8142-4e045072ebfe" targetNamespace="http://schemas.microsoft.com/office/2006/metadata/properties" ma:root="true" ma:fieldsID="7b9c5ff157527d5430b15a0efdf79b75" ns1:_="" ns2:_="" ns3:_="">
    <xsd:import namespace="http://schemas.microsoft.com/sharepoint/v3"/>
    <xsd:import namespace="a0497db2-573c-4aa0-93dd-8a7e01e77e2f"/>
    <xsd:import namespace="848dac44-6319-4190-8142-4e045072ebf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497db2-573c-4aa0-93dd-8a7e01e77e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81dfa97-4093-492e-9932-e13dc4c5726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8dac44-6319-4190-8142-4e045072ebf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b5edd7d9-86f8-4b68-908a-33cf42c79853}" ma:internalName="TaxCatchAll" ma:showField="CatchAllData" ma:web="848dac44-6319-4190-8142-4e045072eb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TemplafyFormConfiguration><![CDATA[{"formFields":[],"formDataEntries":[]}]]></TemplafyFormConfiguration>
</file>

<file path=customXml/item6.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48dac44-6319-4190-8142-4e045072ebfe" xsi:nil="true"/>
    <lcf76f155ced4ddcb4097134ff3c332f xmlns="a0497db2-573c-4aa0-93dd-8a7e01e77e2f">
      <Terms xmlns="http://schemas.microsoft.com/office/infopath/2007/PartnerControls"/>
    </lcf76f155ced4ddcb4097134ff3c332f>
  </documentManagement>
</p:properties>
</file>

<file path=customXml/item7.xml><?xml version="1.0" encoding="utf-8"?>
<TemplafyTemplateConfiguration><![CDATA[{"elementsMetadata":[],"transformationConfigurations":[],"templateName":"BlankDocument","templateDescription":"","enableDocumentContentUpdater":false,"version":"2.0"}]]></TemplafyTemplateConfiguration>
</file>

<file path=customXml/itemProps1.xml><?xml version="1.0" encoding="utf-8"?>
<ds:datastoreItem xmlns:ds="http://schemas.openxmlformats.org/officeDocument/2006/customXml" ds:itemID="{19242F75-0FFE-4A11-AC15-ED1F3301CBDB}">
  <ds:schemaRefs>
    <ds:schemaRef ds:uri="Microsoft.SharePoint.Taxonomy.ContentTypeSync"/>
  </ds:schemaRefs>
</ds:datastoreItem>
</file>

<file path=customXml/itemProps2.xml><?xml version="1.0" encoding="utf-8"?>
<ds:datastoreItem xmlns:ds="http://schemas.openxmlformats.org/officeDocument/2006/customXml" ds:itemID="{ECB3C41D-50DA-4C24-B418-7FF46704D095}">
  <ds:schemaRefs>
    <ds:schemaRef ds:uri="http://schemas.microsoft.com/sharepoint/v3/contenttype/forms"/>
  </ds:schemaRefs>
</ds:datastoreItem>
</file>

<file path=customXml/itemProps3.xml><?xml version="1.0" encoding="utf-8"?>
<ds:datastoreItem xmlns:ds="http://schemas.openxmlformats.org/officeDocument/2006/customXml" ds:itemID="{7CD98960-0E5F-409A-B6B4-4512D593CA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0497db2-573c-4aa0-93dd-8a7e01e77e2f"/>
    <ds:schemaRef ds:uri="848dac44-6319-4190-8142-4e045072e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DDD23BE-8C30-4E7E-BDA7-BAC42B2194FC}">
  <ds:schemaRefs>
    <ds:schemaRef ds:uri="http://schemas.openxmlformats.org/officeDocument/2006/bibliography"/>
  </ds:schemaRefs>
</ds:datastoreItem>
</file>

<file path=customXml/itemProps5.xml><?xml version="1.0" encoding="utf-8"?>
<ds:datastoreItem xmlns:ds="http://schemas.openxmlformats.org/officeDocument/2006/customXml" ds:itemID="{044A04CB-41FF-4E14-851C-F36706FABC21}">
  <ds:schemaRefs/>
</ds:datastoreItem>
</file>

<file path=customXml/itemProps6.xml><?xml version="1.0" encoding="utf-8"?>
<ds:datastoreItem xmlns:ds="http://schemas.openxmlformats.org/officeDocument/2006/customXml" ds:itemID="{43BF83D6-D474-46E3-9882-043CC088422B}">
  <ds:schemaRefs>
    <ds:schemaRef ds:uri="http://schemas.microsoft.com/office/2006/metadata/properties"/>
    <ds:schemaRef ds:uri="http://schemas.microsoft.com/office/infopath/2007/PartnerControls"/>
    <ds:schemaRef ds:uri="http://schemas.microsoft.com/sharepoint/v3"/>
    <ds:schemaRef ds:uri="848dac44-6319-4190-8142-4e045072ebfe"/>
    <ds:schemaRef ds:uri="a0497db2-573c-4aa0-93dd-8a7e01e77e2f"/>
  </ds:schemaRefs>
</ds:datastoreItem>
</file>

<file path=customXml/itemProps7.xml><?xml version="1.0" encoding="utf-8"?>
<ds:datastoreItem xmlns:ds="http://schemas.openxmlformats.org/officeDocument/2006/customXml" ds:itemID="{A7F17DF7-F25B-4A65-A365-DFBEAFC83196}">
  <ds:schemaRefs/>
</ds:datastoreItem>
</file>

<file path=docMetadata/LabelInfo.xml><?xml version="1.0" encoding="utf-8"?>
<clbl:labelList xmlns:clbl="http://schemas.microsoft.com/office/2020/mipLabelMetadata">
  <clbl:label id="{84b7f537-fb76-42b2-ac1b-415a5597766c}" enabled="0" method="" siteId="{84b7f537-fb76-42b2-ac1b-415a5597766c}" removed="1"/>
</clbl:labelList>
</file>

<file path=docProps/app.xml><?xml version="1.0" encoding="utf-8"?>
<Properties xmlns="http://schemas.openxmlformats.org/officeDocument/2006/extended-properties" xmlns:vt="http://schemas.openxmlformats.org/officeDocument/2006/docPropsVTypes">
  <Template>2bau4mvn.dotx</Template>
  <TotalTime>608</TotalTime>
  <Pages>1</Pages>
  <Words>11615</Words>
  <Characters>66211</Characters>
  <Application>Microsoft Office Word</Application>
  <DocSecurity>4</DocSecurity>
  <Lines>551</Lines>
  <Paragraphs>155</Paragraphs>
  <ScaleCrop>false</ScaleCrop>
  <HeadingPairs>
    <vt:vector size="2" baseType="variant">
      <vt:variant>
        <vt:lpstr>Title</vt:lpstr>
      </vt:variant>
      <vt:variant>
        <vt:i4>1</vt:i4>
      </vt:variant>
    </vt:vector>
  </HeadingPairs>
  <TitlesOfParts>
    <vt:vector size="1" baseType="lpstr">
      <vt:lpstr/>
    </vt:vector>
  </TitlesOfParts>
  <Company>Dewberry</Company>
  <LinksUpToDate>false</LinksUpToDate>
  <CharactersWithSpaces>77671</CharactersWithSpaces>
  <SharedDoc>false</SharedDoc>
  <HLinks>
    <vt:vector size="540" baseType="variant">
      <vt:variant>
        <vt:i4>4063283</vt:i4>
      </vt:variant>
      <vt:variant>
        <vt:i4>564</vt:i4>
      </vt:variant>
      <vt:variant>
        <vt:i4>0</vt:i4>
      </vt:variant>
      <vt:variant>
        <vt:i4>5</vt:i4>
      </vt:variant>
      <vt:variant>
        <vt:lpwstr>https://westcog.org/wp-content/uploads/2021/08/HMP-2021.pdf</vt:lpwstr>
      </vt:variant>
      <vt:variant>
        <vt:lpwstr/>
      </vt:variant>
      <vt:variant>
        <vt:i4>5046290</vt:i4>
      </vt:variant>
      <vt:variant>
        <vt:i4>561</vt:i4>
      </vt:variant>
      <vt:variant>
        <vt:i4>0</vt:i4>
      </vt:variant>
      <vt:variant>
        <vt:i4>5</vt:i4>
      </vt:variant>
      <vt:variant>
        <vt:lpwstr>https://resilientconnecticut.uconn.edu/datasets/</vt:lpwstr>
      </vt:variant>
      <vt:variant>
        <vt:lpwstr/>
      </vt:variant>
      <vt:variant>
        <vt:i4>917517</vt:i4>
      </vt:variant>
      <vt:variant>
        <vt:i4>558</vt:i4>
      </vt:variant>
      <vt:variant>
        <vt:i4>0</vt:i4>
      </vt:variant>
      <vt:variant>
        <vt:i4>5</vt:i4>
      </vt:variant>
      <vt:variant>
        <vt:lpwstr>https://maps.cteco.uconn.edu/</vt:lpwstr>
      </vt:variant>
      <vt:variant>
        <vt:lpwstr/>
      </vt:variant>
      <vt:variant>
        <vt:i4>655443</vt:i4>
      </vt:variant>
      <vt:variant>
        <vt:i4>555</vt:i4>
      </vt:variant>
      <vt:variant>
        <vt:i4>0</vt:i4>
      </vt:variant>
      <vt:variant>
        <vt:i4>5</vt:i4>
      </vt:variant>
      <vt:variant>
        <vt:lpwstr>https://clear.uconn.edu/mapping/data/</vt:lpwstr>
      </vt:variant>
      <vt:variant>
        <vt:lpwstr/>
      </vt:variant>
      <vt:variant>
        <vt:i4>2097206</vt:i4>
      </vt:variant>
      <vt:variant>
        <vt:i4>552</vt:i4>
      </vt:variant>
      <vt:variant>
        <vt:i4>0</vt:i4>
      </vt:variant>
      <vt:variant>
        <vt:i4>5</vt:i4>
      </vt:variant>
      <vt:variant>
        <vt:lpwstr>https://prism.oregonstate.edu/</vt:lpwstr>
      </vt:variant>
      <vt:variant>
        <vt:lpwstr/>
      </vt:variant>
      <vt:variant>
        <vt:i4>7209045</vt:i4>
      </vt:variant>
      <vt:variant>
        <vt:i4>549</vt:i4>
      </vt:variant>
      <vt:variant>
        <vt:i4>0</vt:i4>
      </vt:variant>
      <vt:variant>
        <vt:i4>5</vt:i4>
      </vt:variant>
      <vt:variant>
        <vt:lpwstr>https://precip.eas.cornell.edu/</vt:lpwstr>
      </vt:variant>
      <vt:variant>
        <vt:lpwstr>/</vt:lpwstr>
      </vt:variant>
      <vt:variant>
        <vt:i4>1769515</vt:i4>
      </vt:variant>
      <vt:variant>
        <vt:i4>546</vt:i4>
      </vt:variant>
      <vt:variant>
        <vt:i4>0</vt:i4>
      </vt:variant>
      <vt:variant>
        <vt:i4>5</vt:i4>
      </vt:variant>
      <vt:variant>
        <vt:lpwstr>https://ny-idf-projections.nrcc.cornell.edu/index.html</vt:lpwstr>
      </vt:variant>
      <vt:variant>
        <vt:lpwstr>dialog_box</vt:lpwstr>
      </vt:variant>
      <vt:variant>
        <vt:i4>1245250</vt:i4>
      </vt:variant>
      <vt:variant>
        <vt:i4>543</vt:i4>
      </vt:variant>
      <vt:variant>
        <vt:i4>0</vt:i4>
      </vt:variant>
      <vt:variant>
        <vt:i4>5</vt:i4>
      </vt:variant>
      <vt:variant>
        <vt:lpwstr>https://www.spc.noaa.gov/wcm/</vt:lpwstr>
      </vt:variant>
      <vt:variant>
        <vt:lpwstr>data</vt:lpwstr>
      </vt:variant>
      <vt:variant>
        <vt:i4>3080193</vt:i4>
      </vt:variant>
      <vt:variant>
        <vt:i4>540</vt:i4>
      </vt:variant>
      <vt:variant>
        <vt:i4>0</vt:i4>
      </vt:variant>
      <vt:variant>
        <vt:i4>5</vt:i4>
      </vt:variant>
      <vt:variant>
        <vt:lpwstr>https://www.weather.gov/media/owp/oh/hdsc/docs/Atlas14_Volume10.pdf</vt:lpwstr>
      </vt:variant>
      <vt:variant>
        <vt:lpwstr/>
      </vt:variant>
      <vt:variant>
        <vt:i4>851986</vt:i4>
      </vt:variant>
      <vt:variant>
        <vt:i4>537</vt:i4>
      </vt:variant>
      <vt:variant>
        <vt:i4>0</vt:i4>
      </vt:variant>
      <vt:variant>
        <vt:i4>5</vt:i4>
      </vt:variant>
      <vt:variant>
        <vt:lpwstr>https://www.fema.gov/flood-maps/products-tools/hazus</vt:lpwstr>
      </vt:variant>
      <vt:variant>
        <vt:lpwstr/>
      </vt:variant>
      <vt:variant>
        <vt:i4>1048609</vt:i4>
      </vt:variant>
      <vt:variant>
        <vt:i4>534</vt:i4>
      </vt:variant>
      <vt:variant>
        <vt:i4>0</vt:i4>
      </vt:variant>
      <vt:variant>
        <vt:i4>5</vt:i4>
      </vt:variant>
      <vt:variant>
        <vt:lpwstr>https://portal.ct.gov/demhs/-/media/demhs/_docs/plans-and-publications/ehsp0024---2023-natural-hazard-mitigation-plan---final.pdf?rev=01aae6d47e8e4bf8a0e24f4ca71581ee&amp;hash=D7467FC0C0E730B61AD407EC3487AD9B</vt:lpwstr>
      </vt:variant>
      <vt:variant>
        <vt:lpwstr/>
      </vt:variant>
      <vt:variant>
        <vt:i4>4194371</vt:i4>
      </vt:variant>
      <vt:variant>
        <vt:i4>531</vt:i4>
      </vt:variant>
      <vt:variant>
        <vt:i4>0</vt:i4>
      </vt:variant>
      <vt:variant>
        <vt:i4>5</vt:i4>
      </vt:variant>
      <vt:variant>
        <vt:lpwstr>https://statesummaries.ncics.org/chapter/ct/</vt:lpwstr>
      </vt:variant>
      <vt:variant>
        <vt:lpwstr/>
      </vt:variant>
      <vt:variant>
        <vt:i4>5898321</vt:i4>
      </vt:variant>
      <vt:variant>
        <vt:i4>513</vt:i4>
      </vt:variant>
      <vt:variant>
        <vt:i4>0</vt:i4>
      </vt:variant>
      <vt:variant>
        <vt:i4>5</vt:i4>
      </vt:variant>
      <vt:variant>
        <vt:lpwstr>https://refresh-stg-c2es.pantheonsite.io/content/drought-and-climate-change/</vt:lpwstr>
      </vt:variant>
      <vt:variant>
        <vt:lpwstr/>
      </vt:variant>
      <vt:variant>
        <vt:i4>1114166</vt:i4>
      </vt:variant>
      <vt:variant>
        <vt:i4>437</vt:i4>
      </vt:variant>
      <vt:variant>
        <vt:i4>0</vt:i4>
      </vt:variant>
      <vt:variant>
        <vt:i4>5</vt:i4>
      </vt:variant>
      <vt:variant>
        <vt:lpwstr/>
      </vt:variant>
      <vt:variant>
        <vt:lpwstr>_Toc233227500</vt:lpwstr>
      </vt:variant>
      <vt:variant>
        <vt:i4>1572919</vt:i4>
      </vt:variant>
      <vt:variant>
        <vt:i4>431</vt:i4>
      </vt:variant>
      <vt:variant>
        <vt:i4>0</vt:i4>
      </vt:variant>
      <vt:variant>
        <vt:i4>5</vt:i4>
      </vt:variant>
      <vt:variant>
        <vt:lpwstr/>
      </vt:variant>
      <vt:variant>
        <vt:lpwstr>_Toc233227499</vt:lpwstr>
      </vt:variant>
      <vt:variant>
        <vt:i4>1572919</vt:i4>
      </vt:variant>
      <vt:variant>
        <vt:i4>425</vt:i4>
      </vt:variant>
      <vt:variant>
        <vt:i4>0</vt:i4>
      </vt:variant>
      <vt:variant>
        <vt:i4>5</vt:i4>
      </vt:variant>
      <vt:variant>
        <vt:lpwstr/>
      </vt:variant>
      <vt:variant>
        <vt:lpwstr>_Toc233227498</vt:lpwstr>
      </vt:variant>
      <vt:variant>
        <vt:i4>1572919</vt:i4>
      </vt:variant>
      <vt:variant>
        <vt:i4>419</vt:i4>
      </vt:variant>
      <vt:variant>
        <vt:i4>0</vt:i4>
      </vt:variant>
      <vt:variant>
        <vt:i4>5</vt:i4>
      </vt:variant>
      <vt:variant>
        <vt:lpwstr/>
      </vt:variant>
      <vt:variant>
        <vt:lpwstr>_Toc233227497</vt:lpwstr>
      </vt:variant>
      <vt:variant>
        <vt:i4>1572919</vt:i4>
      </vt:variant>
      <vt:variant>
        <vt:i4>413</vt:i4>
      </vt:variant>
      <vt:variant>
        <vt:i4>0</vt:i4>
      </vt:variant>
      <vt:variant>
        <vt:i4>5</vt:i4>
      </vt:variant>
      <vt:variant>
        <vt:lpwstr/>
      </vt:variant>
      <vt:variant>
        <vt:lpwstr>_Toc233227496</vt:lpwstr>
      </vt:variant>
      <vt:variant>
        <vt:i4>1572919</vt:i4>
      </vt:variant>
      <vt:variant>
        <vt:i4>407</vt:i4>
      </vt:variant>
      <vt:variant>
        <vt:i4>0</vt:i4>
      </vt:variant>
      <vt:variant>
        <vt:i4>5</vt:i4>
      </vt:variant>
      <vt:variant>
        <vt:lpwstr/>
      </vt:variant>
      <vt:variant>
        <vt:lpwstr>_Toc233227495</vt:lpwstr>
      </vt:variant>
      <vt:variant>
        <vt:i4>1572919</vt:i4>
      </vt:variant>
      <vt:variant>
        <vt:i4>401</vt:i4>
      </vt:variant>
      <vt:variant>
        <vt:i4>0</vt:i4>
      </vt:variant>
      <vt:variant>
        <vt:i4>5</vt:i4>
      </vt:variant>
      <vt:variant>
        <vt:lpwstr/>
      </vt:variant>
      <vt:variant>
        <vt:lpwstr>_Toc233227494</vt:lpwstr>
      </vt:variant>
      <vt:variant>
        <vt:i4>1572913</vt:i4>
      </vt:variant>
      <vt:variant>
        <vt:i4>392</vt:i4>
      </vt:variant>
      <vt:variant>
        <vt:i4>0</vt:i4>
      </vt:variant>
      <vt:variant>
        <vt:i4>5</vt:i4>
      </vt:variant>
      <vt:variant>
        <vt:lpwstr/>
      </vt:variant>
      <vt:variant>
        <vt:lpwstr>_Toc233228260</vt:lpwstr>
      </vt:variant>
      <vt:variant>
        <vt:i4>1769521</vt:i4>
      </vt:variant>
      <vt:variant>
        <vt:i4>386</vt:i4>
      </vt:variant>
      <vt:variant>
        <vt:i4>0</vt:i4>
      </vt:variant>
      <vt:variant>
        <vt:i4>5</vt:i4>
      </vt:variant>
      <vt:variant>
        <vt:lpwstr/>
      </vt:variant>
      <vt:variant>
        <vt:lpwstr>_Toc233228259</vt:lpwstr>
      </vt:variant>
      <vt:variant>
        <vt:i4>1769521</vt:i4>
      </vt:variant>
      <vt:variant>
        <vt:i4>380</vt:i4>
      </vt:variant>
      <vt:variant>
        <vt:i4>0</vt:i4>
      </vt:variant>
      <vt:variant>
        <vt:i4>5</vt:i4>
      </vt:variant>
      <vt:variant>
        <vt:lpwstr/>
      </vt:variant>
      <vt:variant>
        <vt:lpwstr>_Toc233228258</vt:lpwstr>
      </vt:variant>
      <vt:variant>
        <vt:i4>1769521</vt:i4>
      </vt:variant>
      <vt:variant>
        <vt:i4>374</vt:i4>
      </vt:variant>
      <vt:variant>
        <vt:i4>0</vt:i4>
      </vt:variant>
      <vt:variant>
        <vt:i4>5</vt:i4>
      </vt:variant>
      <vt:variant>
        <vt:lpwstr/>
      </vt:variant>
      <vt:variant>
        <vt:lpwstr>_Toc233228257</vt:lpwstr>
      </vt:variant>
      <vt:variant>
        <vt:i4>1769521</vt:i4>
      </vt:variant>
      <vt:variant>
        <vt:i4>368</vt:i4>
      </vt:variant>
      <vt:variant>
        <vt:i4>0</vt:i4>
      </vt:variant>
      <vt:variant>
        <vt:i4>5</vt:i4>
      </vt:variant>
      <vt:variant>
        <vt:lpwstr/>
      </vt:variant>
      <vt:variant>
        <vt:lpwstr>_Toc233228256</vt:lpwstr>
      </vt:variant>
      <vt:variant>
        <vt:i4>1769521</vt:i4>
      </vt:variant>
      <vt:variant>
        <vt:i4>362</vt:i4>
      </vt:variant>
      <vt:variant>
        <vt:i4>0</vt:i4>
      </vt:variant>
      <vt:variant>
        <vt:i4>5</vt:i4>
      </vt:variant>
      <vt:variant>
        <vt:lpwstr/>
      </vt:variant>
      <vt:variant>
        <vt:lpwstr>_Toc233228255</vt:lpwstr>
      </vt:variant>
      <vt:variant>
        <vt:i4>1769521</vt:i4>
      </vt:variant>
      <vt:variant>
        <vt:i4>356</vt:i4>
      </vt:variant>
      <vt:variant>
        <vt:i4>0</vt:i4>
      </vt:variant>
      <vt:variant>
        <vt:i4>5</vt:i4>
      </vt:variant>
      <vt:variant>
        <vt:lpwstr/>
      </vt:variant>
      <vt:variant>
        <vt:lpwstr>_Toc233228254</vt:lpwstr>
      </vt:variant>
      <vt:variant>
        <vt:i4>1769521</vt:i4>
      </vt:variant>
      <vt:variant>
        <vt:i4>350</vt:i4>
      </vt:variant>
      <vt:variant>
        <vt:i4>0</vt:i4>
      </vt:variant>
      <vt:variant>
        <vt:i4>5</vt:i4>
      </vt:variant>
      <vt:variant>
        <vt:lpwstr/>
      </vt:variant>
      <vt:variant>
        <vt:lpwstr>_Toc233228253</vt:lpwstr>
      </vt:variant>
      <vt:variant>
        <vt:i4>1769521</vt:i4>
      </vt:variant>
      <vt:variant>
        <vt:i4>344</vt:i4>
      </vt:variant>
      <vt:variant>
        <vt:i4>0</vt:i4>
      </vt:variant>
      <vt:variant>
        <vt:i4>5</vt:i4>
      </vt:variant>
      <vt:variant>
        <vt:lpwstr/>
      </vt:variant>
      <vt:variant>
        <vt:lpwstr>_Toc233228252</vt:lpwstr>
      </vt:variant>
      <vt:variant>
        <vt:i4>1769521</vt:i4>
      </vt:variant>
      <vt:variant>
        <vt:i4>338</vt:i4>
      </vt:variant>
      <vt:variant>
        <vt:i4>0</vt:i4>
      </vt:variant>
      <vt:variant>
        <vt:i4>5</vt:i4>
      </vt:variant>
      <vt:variant>
        <vt:lpwstr/>
      </vt:variant>
      <vt:variant>
        <vt:lpwstr>_Toc233228251</vt:lpwstr>
      </vt:variant>
      <vt:variant>
        <vt:i4>1769521</vt:i4>
      </vt:variant>
      <vt:variant>
        <vt:i4>332</vt:i4>
      </vt:variant>
      <vt:variant>
        <vt:i4>0</vt:i4>
      </vt:variant>
      <vt:variant>
        <vt:i4>5</vt:i4>
      </vt:variant>
      <vt:variant>
        <vt:lpwstr/>
      </vt:variant>
      <vt:variant>
        <vt:lpwstr>_Toc233228250</vt:lpwstr>
      </vt:variant>
      <vt:variant>
        <vt:i4>1703985</vt:i4>
      </vt:variant>
      <vt:variant>
        <vt:i4>326</vt:i4>
      </vt:variant>
      <vt:variant>
        <vt:i4>0</vt:i4>
      </vt:variant>
      <vt:variant>
        <vt:i4>5</vt:i4>
      </vt:variant>
      <vt:variant>
        <vt:lpwstr/>
      </vt:variant>
      <vt:variant>
        <vt:lpwstr>_Toc233228249</vt:lpwstr>
      </vt:variant>
      <vt:variant>
        <vt:i4>1703985</vt:i4>
      </vt:variant>
      <vt:variant>
        <vt:i4>320</vt:i4>
      </vt:variant>
      <vt:variant>
        <vt:i4>0</vt:i4>
      </vt:variant>
      <vt:variant>
        <vt:i4>5</vt:i4>
      </vt:variant>
      <vt:variant>
        <vt:lpwstr/>
      </vt:variant>
      <vt:variant>
        <vt:lpwstr>_Toc233228248</vt:lpwstr>
      </vt:variant>
      <vt:variant>
        <vt:i4>1703985</vt:i4>
      </vt:variant>
      <vt:variant>
        <vt:i4>314</vt:i4>
      </vt:variant>
      <vt:variant>
        <vt:i4>0</vt:i4>
      </vt:variant>
      <vt:variant>
        <vt:i4>5</vt:i4>
      </vt:variant>
      <vt:variant>
        <vt:lpwstr/>
      </vt:variant>
      <vt:variant>
        <vt:lpwstr>_Toc233228247</vt:lpwstr>
      </vt:variant>
      <vt:variant>
        <vt:i4>1703985</vt:i4>
      </vt:variant>
      <vt:variant>
        <vt:i4>308</vt:i4>
      </vt:variant>
      <vt:variant>
        <vt:i4>0</vt:i4>
      </vt:variant>
      <vt:variant>
        <vt:i4>5</vt:i4>
      </vt:variant>
      <vt:variant>
        <vt:lpwstr/>
      </vt:variant>
      <vt:variant>
        <vt:lpwstr>_Toc233228246</vt:lpwstr>
      </vt:variant>
      <vt:variant>
        <vt:i4>1703985</vt:i4>
      </vt:variant>
      <vt:variant>
        <vt:i4>302</vt:i4>
      </vt:variant>
      <vt:variant>
        <vt:i4>0</vt:i4>
      </vt:variant>
      <vt:variant>
        <vt:i4>5</vt:i4>
      </vt:variant>
      <vt:variant>
        <vt:lpwstr/>
      </vt:variant>
      <vt:variant>
        <vt:lpwstr>_Toc233228245</vt:lpwstr>
      </vt:variant>
      <vt:variant>
        <vt:i4>1703985</vt:i4>
      </vt:variant>
      <vt:variant>
        <vt:i4>296</vt:i4>
      </vt:variant>
      <vt:variant>
        <vt:i4>0</vt:i4>
      </vt:variant>
      <vt:variant>
        <vt:i4>5</vt:i4>
      </vt:variant>
      <vt:variant>
        <vt:lpwstr/>
      </vt:variant>
      <vt:variant>
        <vt:lpwstr>_Toc233228244</vt:lpwstr>
      </vt:variant>
      <vt:variant>
        <vt:i4>1703985</vt:i4>
      </vt:variant>
      <vt:variant>
        <vt:i4>290</vt:i4>
      </vt:variant>
      <vt:variant>
        <vt:i4>0</vt:i4>
      </vt:variant>
      <vt:variant>
        <vt:i4>5</vt:i4>
      </vt:variant>
      <vt:variant>
        <vt:lpwstr/>
      </vt:variant>
      <vt:variant>
        <vt:lpwstr>_Toc233228243</vt:lpwstr>
      </vt:variant>
      <vt:variant>
        <vt:i4>1703985</vt:i4>
      </vt:variant>
      <vt:variant>
        <vt:i4>284</vt:i4>
      </vt:variant>
      <vt:variant>
        <vt:i4>0</vt:i4>
      </vt:variant>
      <vt:variant>
        <vt:i4>5</vt:i4>
      </vt:variant>
      <vt:variant>
        <vt:lpwstr/>
      </vt:variant>
      <vt:variant>
        <vt:lpwstr>_Toc233228242</vt:lpwstr>
      </vt:variant>
      <vt:variant>
        <vt:i4>1703985</vt:i4>
      </vt:variant>
      <vt:variant>
        <vt:i4>278</vt:i4>
      </vt:variant>
      <vt:variant>
        <vt:i4>0</vt:i4>
      </vt:variant>
      <vt:variant>
        <vt:i4>5</vt:i4>
      </vt:variant>
      <vt:variant>
        <vt:lpwstr/>
      </vt:variant>
      <vt:variant>
        <vt:lpwstr>_Toc233228241</vt:lpwstr>
      </vt:variant>
      <vt:variant>
        <vt:i4>1703985</vt:i4>
      </vt:variant>
      <vt:variant>
        <vt:i4>272</vt:i4>
      </vt:variant>
      <vt:variant>
        <vt:i4>0</vt:i4>
      </vt:variant>
      <vt:variant>
        <vt:i4>5</vt:i4>
      </vt:variant>
      <vt:variant>
        <vt:lpwstr/>
      </vt:variant>
      <vt:variant>
        <vt:lpwstr>_Toc233228240</vt:lpwstr>
      </vt:variant>
      <vt:variant>
        <vt:i4>1900593</vt:i4>
      </vt:variant>
      <vt:variant>
        <vt:i4>263</vt:i4>
      </vt:variant>
      <vt:variant>
        <vt:i4>0</vt:i4>
      </vt:variant>
      <vt:variant>
        <vt:i4>5</vt:i4>
      </vt:variant>
      <vt:variant>
        <vt:lpwstr/>
      </vt:variant>
      <vt:variant>
        <vt:lpwstr>_Toc233228239</vt:lpwstr>
      </vt:variant>
      <vt:variant>
        <vt:i4>1900593</vt:i4>
      </vt:variant>
      <vt:variant>
        <vt:i4>257</vt:i4>
      </vt:variant>
      <vt:variant>
        <vt:i4>0</vt:i4>
      </vt:variant>
      <vt:variant>
        <vt:i4>5</vt:i4>
      </vt:variant>
      <vt:variant>
        <vt:lpwstr/>
      </vt:variant>
      <vt:variant>
        <vt:lpwstr>_Toc233228238</vt:lpwstr>
      </vt:variant>
      <vt:variant>
        <vt:i4>1900593</vt:i4>
      </vt:variant>
      <vt:variant>
        <vt:i4>251</vt:i4>
      </vt:variant>
      <vt:variant>
        <vt:i4>0</vt:i4>
      </vt:variant>
      <vt:variant>
        <vt:i4>5</vt:i4>
      </vt:variant>
      <vt:variant>
        <vt:lpwstr/>
      </vt:variant>
      <vt:variant>
        <vt:lpwstr>_Toc233228237</vt:lpwstr>
      </vt:variant>
      <vt:variant>
        <vt:i4>1900593</vt:i4>
      </vt:variant>
      <vt:variant>
        <vt:i4>245</vt:i4>
      </vt:variant>
      <vt:variant>
        <vt:i4>0</vt:i4>
      </vt:variant>
      <vt:variant>
        <vt:i4>5</vt:i4>
      </vt:variant>
      <vt:variant>
        <vt:lpwstr/>
      </vt:variant>
      <vt:variant>
        <vt:lpwstr>_Toc233228236</vt:lpwstr>
      </vt:variant>
      <vt:variant>
        <vt:i4>1900593</vt:i4>
      </vt:variant>
      <vt:variant>
        <vt:i4>239</vt:i4>
      </vt:variant>
      <vt:variant>
        <vt:i4>0</vt:i4>
      </vt:variant>
      <vt:variant>
        <vt:i4>5</vt:i4>
      </vt:variant>
      <vt:variant>
        <vt:lpwstr/>
      </vt:variant>
      <vt:variant>
        <vt:lpwstr>_Toc233228235</vt:lpwstr>
      </vt:variant>
      <vt:variant>
        <vt:i4>1900593</vt:i4>
      </vt:variant>
      <vt:variant>
        <vt:i4>233</vt:i4>
      </vt:variant>
      <vt:variant>
        <vt:i4>0</vt:i4>
      </vt:variant>
      <vt:variant>
        <vt:i4>5</vt:i4>
      </vt:variant>
      <vt:variant>
        <vt:lpwstr/>
      </vt:variant>
      <vt:variant>
        <vt:lpwstr>_Toc233228234</vt:lpwstr>
      </vt:variant>
      <vt:variant>
        <vt:i4>1900593</vt:i4>
      </vt:variant>
      <vt:variant>
        <vt:i4>227</vt:i4>
      </vt:variant>
      <vt:variant>
        <vt:i4>0</vt:i4>
      </vt:variant>
      <vt:variant>
        <vt:i4>5</vt:i4>
      </vt:variant>
      <vt:variant>
        <vt:lpwstr/>
      </vt:variant>
      <vt:variant>
        <vt:lpwstr>_Toc233228233</vt:lpwstr>
      </vt:variant>
      <vt:variant>
        <vt:i4>1900593</vt:i4>
      </vt:variant>
      <vt:variant>
        <vt:i4>221</vt:i4>
      </vt:variant>
      <vt:variant>
        <vt:i4>0</vt:i4>
      </vt:variant>
      <vt:variant>
        <vt:i4>5</vt:i4>
      </vt:variant>
      <vt:variant>
        <vt:lpwstr/>
      </vt:variant>
      <vt:variant>
        <vt:lpwstr>_Toc233228232</vt:lpwstr>
      </vt:variant>
      <vt:variant>
        <vt:i4>1900593</vt:i4>
      </vt:variant>
      <vt:variant>
        <vt:i4>215</vt:i4>
      </vt:variant>
      <vt:variant>
        <vt:i4>0</vt:i4>
      </vt:variant>
      <vt:variant>
        <vt:i4>5</vt:i4>
      </vt:variant>
      <vt:variant>
        <vt:lpwstr/>
      </vt:variant>
      <vt:variant>
        <vt:lpwstr>_Toc233228231</vt:lpwstr>
      </vt:variant>
      <vt:variant>
        <vt:i4>1900593</vt:i4>
      </vt:variant>
      <vt:variant>
        <vt:i4>209</vt:i4>
      </vt:variant>
      <vt:variant>
        <vt:i4>0</vt:i4>
      </vt:variant>
      <vt:variant>
        <vt:i4>5</vt:i4>
      </vt:variant>
      <vt:variant>
        <vt:lpwstr/>
      </vt:variant>
      <vt:variant>
        <vt:lpwstr>_Toc233228230</vt:lpwstr>
      </vt:variant>
      <vt:variant>
        <vt:i4>1835057</vt:i4>
      </vt:variant>
      <vt:variant>
        <vt:i4>203</vt:i4>
      </vt:variant>
      <vt:variant>
        <vt:i4>0</vt:i4>
      </vt:variant>
      <vt:variant>
        <vt:i4>5</vt:i4>
      </vt:variant>
      <vt:variant>
        <vt:lpwstr/>
      </vt:variant>
      <vt:variant>
        <vt:lpwstr>_Toc233228229</vt:lpwstr>
      </vt:variant>
      <vt:variant>
        <vt:i4>1835057</vt:i4>
      </vt:variant>
      <vt:variant>
        <vt:i4>197</vt:i4>
      </vt:variant>
      <vt:variant>
        <vt:i4>0</vt:i4>
      </vt:variant>
      <vt:variant>
        <vt:i4>5</vt:i4>
      </vt:variant>
      <vt:variant>
        <vt:lpwstr/>
      </vt:variant>
      <vt:variant>
        <vt:lpwstr>_Toc233228228</vt:lpwstr>
      </vt:variant>
      <vt:variant>
        <vt:i4>1835057</vt:i4>
      </vt:variant>
      <vt:variant>
        <vt:i4>191</vt:i4>
      </vt:variant>
      <vt:variant>
        <vt:i4>0</vt:i4>
      </vt:variant>
      <vt:variant>
        <vt:i4>5</vt:i4>
      </vt:variant>
      <vt:variant>
        <vt:lpwstr/>
      </vt:variant>
      <vt:variant>
        <vt:lpwstr>_Toc233228227</vt:lpwstr>
      </vt:variant>
      <vt:variant>
        <vt:i4>1835057</vt:i4>
      </vt:variant>
      <vt:variant>
        <vt:i4>185</vt:i4>
      </vt:variant>
      <vt:variant>
        <vt:i4>0</vt:i4>
      </vt:variant>
      <vt:variant>
        <vt:i4>5</vt:i4>
      </vt:variant>
      <vt:variant>
        <vt:lpwstr/>
      </vt:variant>
      <vt:variant>
        <vt:lpwstr>_Toc233228226</vt:lpwstr>
      </vt:variant>
      <vt:variant>
        <vt:i4>1835057</vt:i4>
      </vt:variant>
      <vt:variant>
        <vt:i4>179</vt:i4>
      </vt:variant>
      <vt:variant>
        <vt:i4>0</vt:i4>
      </vt:variant>
      <vt:variant>
        <vt:i4>5</vt:i4>
      </vt:variant>
      <vt:variant>
        <vt:lpwstr/>
      </vt:variant>
      <vt:variant>
        <vt:lpwstr>_Toc233228225</vt:lpwstr>
      </vt:variant>
      <vt:variant>
        <vt:i4>1835057</vt:i4>
      </vt:variant>
      <vt:variant>
        <vt:i4>173</vt:i4>
      </vt:variant>
      <vt:variant>
        <vt:i4>0</vt:i4>
      </vt:variant>
      <vt:variant>
        <vt:i4>5</vt:i4>
      </vt:variant>
      <vt:variant>
        <vt:lpwstr/>
      </vt:variant>
      <vt:variant>
        <vt:lpwstr>_Toc233228224</vt:lpwstr>
      </vt:variant>
      <vt:variant>
        <vt:i4>1835057</vt:i4>
      </vt:variant>
      <vt:variant>
        <vt:i4>167</vt:i4>
      </vt:variant>
      <vt:variant>
        <vt:i4>0</vt:i4>
      </vt:variant>
      <vt:variant>
        <vt:i4>5</vt:i4>
      </vt:variant>
      <vt:variant>
        <vt:lpwstr/>
      </vt:variant>
      <vt:variant>
        <vt:lpwstr>_Toc233228223</vt:lpwstr>
      </vt:variant>
      <vt:variant>
        <vt:i4>1835057</vt:i4>
      </vt:variant>
      <vt:variant>
        <vt:i4>161</vt:i4>
      </vt:variant>
      <vt:variant>
        <vt:i4>0</vt:i4>
      </vt:variant>
      <vt:variant>
        <vt:i4>5</vt:i4>
      </vt:variant>
      <vt:variant>
        <vt:lpwstr/>
      </vt:variant>
      <vt:variant>
        <vt:lpwstr>_Toc233228222</vt:lpwstr>
      </vt:variant>
      <vt:variant>
        <vt:i4>1835057</vt:i4>
      </vt:variant>
      <vt:variant>
        <vt:i4>155</vt:i4>
      </vt:variant>
      <vt:variant>
        <vt:i4>0</vt:i4>
      </vt:variant>
      <vt:variant>
        <vt:i4>5</vt:i4>
      </vt:variant>
      <vt:variant>
        <vt:lpwstr/>
      </vt:variant>
      <vt:variant>
        <vt:lpwstr>_Toc233228221</vt:lpwstr>
      </vt:variant>
      <vt:variant>
        <vt:i4>1835057</vt:i4>
      </vt:variant>
      <vt:variant>
        <vt:i4>149</vt:i4>
      </vt:variant>
      <vt:variant>
        <vt:i4>0</vt:i4>
      </vt:variant>
      <vt:variant>
        <vt:i4>5</vt:i4>
      </vt:variant>
      <vt:variant>
        <vt:lpwstr/>
      </vt:variant>
      <vt:variant>
        <vt:lpwstr>_Toc233228220</vt:lpwstr>
      </vt:variant>
      <vt:variant>
        <vt:i4>2031665</vt:i4>
      </vt:variant>
      <vt:variant>
        <vt:i4>143</vt:i4>
      </vt:variant>
      <vt:variant>
        <vt:i4>0</vt:i4>
      </vt:variant>
      <vt:variant>
        <vt:i4>5</vt:i4>
      </vt:variant>
      <vt:variant>
        <vt:lpwstr/>
      </vt:variant>
      <vt:variant>
        <vt:lpwstr>_Toc233228219</vt:lpwstr>
      </vt:variant>
      <vt:variant>
        <vt:i4>2031665</vt:i4>
      </vt:variant>
      <vt:variant>
        <vt:i4>137</vt:i4>
      </vt:variant>
      <vt:variant>
        <vt:i4>0</vt:i4>
      </vt:variant>
      <vt:variant>
        <vt:i4>5</vt:i4>
      </vt:variant>
      <vt:variant>
        <vt:lpwstr/>
      </vt:variant>
      <vt:variant>
        <vt:lpwstr>_Toc233228218</vt:lpwstr>
      </vt:variant>
      <vt:variant>
        <vt:i4>2031665</vt:i4>
      </vt:variant>
      <vt:variant>
        <vt:i4>131</vt:i4>
      </vt:variant>
      <vt:variant>
        <vt:i4>0</vt:i4>
      </vt:variant>
      <vt:variant>
        <vt:i4>5</vt:i4>
      </vt:variant>
      <vt:variant>
        <vt:lpwstr/>
      </vt:variant>
      <vt:variant>
        <vt:lpwstr>_Toc233228217</vt:lpwstr>
      </vt:variant>
      <vt:variant>
        <vt:i4>2031665</vt:i4>
      </vt:variant>
      <vt:variant>
        <vt:i4>125</vt:i4>
      </vt:variant>
      <vt:variant>
        <vt:i4>0</vt:i4>
      </vt:variant>
      <vt:variant>
        <vt:i4>5</vt:i4>
      </vt:variant>
      <vt:variant>
        <vt:lpwstr/>
      </vt:variant>
      <vt:variant>
        <vt:lpwstr>_Toc233228216</vt:lpwstr>
      </vt:variant>
      <vt:variant>
        <vt:i4>2031665</vt:i4>
      </vt:variant>
      <vt:variant>
        <vt:i4>119</vt:i4>
      </vt:variant>
      <vt:variant>
        <vt:i4>0</vt:i4>
      </vt:variant>
      <vt:variant>
        <vt:i4>5</vt:i4>
      </vt:variant>
      <vt:variant>
        <vt:lpwstr/>
      </vt:variant>
      <vt:variant>
        <vt:lpwstr>_Toc233228215</vt:lpwstr>
      </vt:variant>
      <vt:variant>
        <vt:i4>2031665</vt:i4>
      </vt:variant>
      <vt:variant>
        <vt:i4>113</vt:i4>
      </vt:variant>
      <vt:variant>
        <vt:i4>0</vt:i4>
      </vt:variant>
      <vt:variant>
        <vt:i4>5</vt:i4>
      </vt:variant>
      <vt:variant>
        <vt:lpwstr/>
      </vt:variant>
      <vt:variant>
        <vt:lpwstr>_Toc233228214</vt:lpwstr>
      </vt:variant>
      <vt:variant>
        <vt:i4>2031665</vt:i4>
      </vt:variant>
      <vt:variant>
        <vt:i4>107</vt:i4>
      </vt:variant>
      <vt:variant>
        <vt:i4>0</vt:i4>
      </vt:variant>
      <vt:variant>
        <vt:i4>5</vt:i4>
      </vt:variant>
      <vt:variant>
        <vt:lpwstr/>
      </vt:variant>
      <vt:variant>
        <vt:lpwstr>_Toc233228213</vt:lpwstr>
      </vt:variant>
      <vt:variant>
        <vt:i4>2031665</vt:i4>
      </vt:variant>
      <vt:variant>
        <vt:i4>101</vt:i4>
      </vt:variant>
      <vt:variant>
        <vt:i4>0</vt:i4>
      </vt:variant>
      <vt:variant>
        <vt:i4>5</vt:i4>
      </vt:variant>
      <vt:variant>
        <vt:lpwstr/>
      </vt:variant>
      <vt:variant>
        <vt:lpwstr>_Toc233228212</vt:lpwstr>
      </vt:variant>
      <vt:variant>
        <vt:i4>2031665</vt:i4>
      </vt:variant>
      <vt:variant>
        <vt:i4>95</vt:i4>
      </vt:variant>
      <vt:variant>
        <vt:i4>0</vt:i4>
      </vt:variant>
      <vt:variant>
        <vt:i4>5</vt:i4>
      </vt:variant>
      <vt:variant>
        <vt:lpwstr/>
      </vt:variant>
      <vt:variant>
        <vt:lpwstr>_Toc233228211</vt:lpwstr>
      </vt:variant>
      <vt:variant>
        <vt:i4>2031665</vt:i4>
      </vt:variant>
      <vt:variant>
        <vt:i4>89</vt:i4>
      </vt:variant>
      <vt:variant>
        <vt:i4>0</vt:i4>
      </vt:variant>
      <vt:variant>
        <vt:i4>5</vt:i4>
      </vt:variant>
      <vt:variant>
        <vt:lpwstr/>
      </vt:variant>
      <vt:variant>
        <vt:lpwstr>_Toc233228210</vt:lpwstr>
      </vt:variant>
      <vt:variant>
        <vt:i4>1966129</vt:i4>
      </vt:variant>
      <vt:variant>
        <vt:i4>83</vt:i4>
      </vt:variant>
      <vt:variant>
        <vt:i4>0</vt:i4>
      </vt:variant>
      <vt:variant>
        <vt:i4>5</vt:i4>
      </vt:variant>
      <vt:variant>
        <vt:lpwstr/>
      </vt:variant>
      <vt:variant>
        <vt:lpwstr>_Toc233228209</vt:lpwstr>
      </vt:variant>
      <vt:variant>
        <vt:i4>1966129</vt:i4>
      </vt:variant>
      <vt:variant>
        <vt:i4>77</vt:i4>
      </vt:variant>
      <vt:variant>
        <vt:i4>0</vt:i4>
      </vt:variant>
      <vt:variant>
        <vt:i4>5</vt:i4>
      </vt:variant>
      <vt:variant>
        <vt:lpwstr/>
      </vt:variant>
      <vt:variant>
        <vt:lpwstr>_Toc233228208</vt:lpwstr>
      </vt:variant>
      <vt:variant>
        <vt:i4>1966129</vt:i4>
      </vt:variant>
      <vt:variant>
        <vt:i4>71</vt:i4>
      </vt:variant>
      <vt:variant>
        <vt:i4>0</vt:i4>
      </vt:variant>
      <vt:variant>
        <vt:i4>5</vt:i4>
      </vt:variant>
      <vt:variant>
        <vt:lpwstr/>
      </vt:variant>
      <vt:variant>
        <vt:lpwstr>_Toc233228207</vt:lpwstr>
      </vt:variant>
      <vt:variant>
        <vt:i4>1966129</vt:i4>
      </vt:variant>
      <vt:variant>
        <vt:i4>65</vt:i4>
      </vt:variant>
      <vt:variant>
        <vt:i4>0</vt:i4>
      </vt:variant>
      <vt:variant>
        <vt:i4>5</vt:i4>
      </vt:variant>
      <vt:variant>
        <vt:lpwstr/>
      </vt:variant>
      <vt:variant>
        <vt:lpwstr>_Toc233228206</vt:lpwstr>
      </vt:variant>
      <vt:variant>
        <vt:i4>1966129</vt:i4>
      </vt:variant>
      <vt:variant>
        <vt:i4>59</vt:i4>
      </vt:variant>
      <vt:variant>
        <vt:i4>0</vt:i4>
      </vt:variant>
      <vt:variant>
        <vt:i4>5</vt:i4>
      </vt:variant>
      <vt:variant>
        <vt:lpwstr/>
      </vt:variant>
      <vt:variant>
        <vt:lpwstr>_Toc233228205</vt:lpwstr>
      </vt:variant>
      <vt:variant>
        <vt:i4>1966129</vt:i4>
      </vt:variant>
      <vt:variant>
        <vt:i4>53</vt:i4>
      </vt:variant>
      <vt:variant>
        <vt:i4>0</vt:i4>
      </vt:variant>
      <vt:variant>
        <vt:i4>5</vt:i4>
      </vt:variant>
      <vt:variant>
        <vt:lpwstr/>
      </vt:variant>
      <vt:variant>
        <vt:lpwstr>_Toc233228204</vt:lpwstr>
      </vt:variant>
      <vt:variant>
        <vt:i4>1966129</vt:i4>
      </vt:variant>
      <vt:variant>
        <vt:i4>47</vt:i4>
      </vt:variant>
      <vt:variant>
        <vt:i4>0</vt:i4>
      </vt:variant>
      <vt:variant>
        <vt:i4>5</vt:i4>
      </vt:variant>
      <vt:variant>
        <vt:lpwstr/>
      </vt:variant>
      <vt:variant>
        <vt:lpwstr>_Toc233228203</vt:lpwstr>
      </vt:variant>
      <vt:variant>
        <vt:i4>1966129</vt:i4>
      </vt:variant>
      <vt:variant>
        <vt:i4>41</vt:i4>
      </vt:variant>
      <vt:variant>
        <vt:i4>0</vt:i4>
      </vt:variant>
      <vt:variant>
        <vt:i4>5</vt:i4>
      </vt:variant>
      <vt:variant>
        <vt:lpwstr/>
      </vt:variant>
      <vt:variant>
        <vt:lpwstr>_Toc233228202</vt:lpwstr>
      </vt:variant>
      <vt:variant>
        <vt:i4>1966129</vt:i4>
      </vt:variant>
      <vt:variant>
        <vt:i4>35</vt:i4>
      </vt:variant>
      <vt:variant>
        <vt:i4>0</vt:i4>
      </vt:variant>
      <vt:variant>
        <vt:i4>5</vt:i4>
      </vt:variant>
      <vt:variant>
        <vt:lpwstr/>
      </vt:variant>
      <vt:variant>
        <vt:lpwstr>_Toc233228201</vt:lpwstr>
      </vt:variant>
      <vt:variant>
        <vt:i4>1966129</vt:i4>
      </vt:variant>
      <vt:variant>
        <vt:i4>29</vt:i4>
      </vt:variant>
      <vt:variant>
        <vt:i4>0</vt:i4>
      </vt:variant>
      <vt:variant>
        <vt:i4>5</vt:i4>
      </vt:variant>
      <vt:variant>
        <vt:lpwstr/>
      </vt:variant>
      <vt:variant>
        <vt:lpwstr>_Toc233228200</vt:lpwstr>
      </vt:variant>
      <vt:variant>
        <vt:i4>1507378</vt:i4>
      </vt:variant>
      <vt:variant>
        <vt:i4>23</vt:i4>
      </vt:variant>
      <vt:variant>
        <vt:i4>0</vt:i4>
      </vt:variant>
      <vt:variant>
        <vt:i4>5</vt:i4>
      </vt:variant>
      <vt:variant>
        <vt:lpwstr/>
      </vt:variant>
      <vt:variant>
        <vt:lpwstr>_Toc233228199</vt:lpwstr>
      </vt:variant>
      <vt:variant>
        <vt:i4>1507378</vt:i4>
      </vt:variant>
      <vt:variant>
        <vt:i4>17</vt:i4>
      </vt:variant>
      <vt:variant>
        <vt:i4>0</vt:i4>
      </vt:variant>
      <vt:variant>
        <vt:i4>5</vt:i4>
      </vt:variant>
      <vt:variant>
        <vt:lpwstr/>
      </vt:variant>
      <vt:variant>
        <vt:lpwstr>_Toc233228198</vt:lpwstr>
      </vt:variant>
      <vt:variant>
        <vt:i4>1507378</vt:i4>
      </vt:variant>
      <vt:variant>
        <vt:i4>11</vt:i4>
      </vt:variant>
      <vt:variant>
        <vt:i4>0</vt:i4>
      </vt:variant>
      <vt:variant>
        <vt:i4>5</vt:i4>
      </vt:variant>
      <vt:variant>
        <vt:lpwstr/>
      </vt:variant>
      <vt:variant>
        <vt:lpwstr>_Toc233228197</vt:lpwstr>
      </vt:variant>
      <vt:variant>
        <vt:i4>1507378</vt:i4>
      </vt:variant>
      <vt:variant>
        <vt:i4>5</vt:i4>
      </vt:variant>
      <vt:variant>
        <vt:i4>0</vt:i4>
      </vt:variant>
      <vt:variant>
        <vt:i4>5</vt:i4>
      </vt:variant>
      <vt:variant>
        <vt:lpwstr/>
      </vt:variant>
      <vt:variant>
        <vt:lpwstr>_Toc233228196</vt:lpwstr>
      </vt:variant>
      <vt:variant>
        <vt:i4>3080292</vt:i4>
      </vt:variant>
      <vt:variant>
        <vt:i4>12</vt:i4>
      </vt:variant>
      <vt:variant>
        <vt:i4>0</vt:i4>
      </vt:variant>
      <vt:variant>
        <vt:i4>5</vt:i4>
      </vt:variant>
      <vt:variant>
        <vt:lpwstr>https://portal.ct.gov/-/media/deep/water/water_quality_management/guidance/swm_mar_2024.pdf?rev=1dafea8e03ca4ec98f5ec011d803f4dc&amp;hash=A49802ED8F721C491C85776C3E77CF51</vt:lpwstr>
      </vt:variant>
      <vt:variant>
        <vt:lpwstr/>
      </vt:variant>
      <vt:variant>
        <vt:i4>6160385</vt:i4>
      </vt:variant>
      <vt:variant>
        <vt:i4>9</vt:i4>
      </vt:variant>
      <vt:variant>
        <vt:i4>0</vt:i4>
      </vt:variant>
      <vt:variant>
        <vt:i4>5</vt:i4>
      </vt:variant>
      <vt:variant>
        <vt:lpwstr>https://ny-idf-projections.nrcc.cornell.edu/</vt:lpwstr>
      </vt:variant>
      <vt:variant>
        <vt:lpwstr/>
      </vt:variant>
      <vt:variant>
        <vt:i4>1441870</vt:i4>
      </vt:variant>
      <vt:variant>
        <vt:i4>6</vt:i4>
      </vt:variant>
      <vt:variant>
        <vt:i4>0</vt:i4>
      </vt:variant>
      <vt:variant>
        <vt:i4>5</vt:i4>
      </vt:variant>
      <vt:variant>
        <vt:lpwstr>https://precip.eas.cornell.edu/</vt:lpwstr>
      </vt:variant>
      <vt:variant>
        <vt:lpwstr>/data_and_products</vt:lpwstr>
      </vt:variant>
      <vt:variant>
        <vt:i4>3080193</vt:i4>
      </vt:variant>
      <vt:variant>
        <vt:i4>3</vt:i4>
      </vt:variant>
      <vt:variant>
        <vt:i4>0</vt:i4>
      </vt:variant>
      <vt:variant>
        <vt:i4>5</vt:i4>
      </vt:variant>
      <vt:variant>
        <vt:lpwstr>https://www.weather.gov/media/owp/oh/hdsc/docs/Atlas14_Volume10.pdf</vt:lpwstr>
      </vt:variant>
      <vt:variant>
        <vt:lpwstr/>
      </vt:variant>
      <vt:variant>
        <vt:i4>3342389</vt:i4>
      </vt:variant>
      <vt:variant>
        <vt:i4>0</vt:i4>
      </vt:variant>
      <vt:variant>
        <vt:i4>0</vt:i4>
      </vt:variant>
      <vt:variant>
        <vt:i4>5</vt:i4>
      </vt:variant>
      <vt:variant>
        <vt:lpwstr>https://circa.media.uconn.edu/wp-content/uploads/sites/1618/2019/11/CTPCSAR-Aug2019.pdf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Climate and Stormwater Hazard Assessment</dc:title>
  <dc:subject/>
  <dc:creator>Montes, Elaine</dc:creator>
  <cp:keywords/>
  <dc:description/>
  <cp:lastModifiedBy>Beishline, Elisabetta</cp:lastModifiedBy>
  <cp:revision>193</cp:revision>
  <cp:lastPrinted>2026-06-29T22:44:00Z</cp:lastPrinted>
  <dcterms:created xsi:type="dcterms:W3CDTF">2026-05-06T20:28:00Z</dcterms:created>
  <dcterms:modified xsi:type="dcterms:W3CDTF">2026-06-29T19:54:00Z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fyTenantId">
    <vt:lpwstr>dewberry</vt:lpwstr>
  </property>
  <property fmtid="{D5CDD505-2E9C-101B-9397-08002B2CF9AE}" pid="3" name="TemplafyTemplateId">
    <vt:lpwstr>1063251014935380353</vt:lpwstr>
  </property>
  <property fmtid="{D5CDD505-2E9C-101B-9397-08002B2CF9AE}" pid="4" name="TemplafyUserProfileId">
    <vt:lpwstr>1036135194239172612</vt:lpwstr>
  </property>
  <property fmtid="{D5CDD505-2E9C-101B-9397-08002B2CF9AE}" pid="5" name="TemplafyFromBlank">
    <vt:bool>true</vt:bool>
  </property>
  <property fmtid="{D5CDD505-2E9C-101B-9397-08002B2CF9AE}" pid="6" name="GrammarlyDocumentId">
    <vt:lpwstr>6363834b-368b-4c4a-b33c-24cbe6390702</vt:lpwstr>
  </property>
  <property fmtid="{D5CDD505-2E9C-101B-9397-08002B2CF9AE}" pid="7" name="ContentTypeId">
    <vt:lpwstr>0x01010013E90D8A25C8044CB542FA827551D795</vt:lpwstr>
  </property>
  <property fmtid="{D5CDD505-2E9C-101B-9397-08002B2CF9AE}" pid="8" name="MediaServiceImageTags">
    <vt:lpwstr/>
  </property>
</Properties>
</file>